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00" w:rsidRDefault="00577900" w:rsidP="00433FAE">
      <w:pPr>
        <w:spacing w:after="80"/>
        <w:rPr>
          <w:bCs/>
          <w:sz w:val="22"/>
          <w:szCs w:val="22"/>
        </w:rPr>
      </w:pPr>
    </w:p>
    <w:p w:rsidR="00335045" w:rsidRDefault="00335045" w:rsidP="00433FAE">
      <w:pPr>
        <w:spacing w:after="80" w:line="264" w:lineRule="auto"/>
        <w:ind w:firstLine="0"/>
        <w:jc w:val="center"/>
        <w:rPr>
          <w:b/>
          <w:bCs/>
          <w:sz w:val="40"/>
          <w:szCs w:val="40"/>
        </w:rPr>
      </w:pPr>
    </w:p>
    <w:p w:rsidR="00335045" w:rsidRDefault="00335045" w:rsidP="00433FAE">
      <w:pPr>
        <w:spacing w:after="80" w:line="264" w:lineRule="auto"/>
        <w:ind w:firstLine="0"/>
        <w:jc w:val="center"/>
        <w:rPr>
          <w:b/>
          <w:bCs/>
          <w:sz w:val="40"/>
          <w:szCs w:val="40"/>
        </w:rPr>
      </w:pPr>
    </w:p>
    <w:p w:rsidR="007408D8" w:rsidRDefault="007408D8" w:rsidP="00433FAE">
      <w:pPr>
        <w:spacing w:after="80" w:line="264" w:lineRule="auto"/>
        <w:ind w:firstLine="0"/>
        <w:jc w:val="center"/>
        <w:rPr>
          <w:b/>
          <w:bCs/>
          <w:sz w:val="28"/>
          <w:szCs w:val="28"/>
        </w:rPr>
      </w:pPr>
      <w:r w:rsidRPr="008F3FE9">
        <w:rPr>
          <w:rFonts w:cstheme="minorHAnsi"/>
          <w:noProof/>
          <w:lang w:val="en-US" w:eastAsia="en-US"/>
        </w:rPr>
        <mc:AlternateContent>
          <mc:Choice Requires="wps">
            <w:drawing>
              <wp:anchor distT="0" distB="0" distL="114300" distR="114300" simplePos="0" relativeHeight="251661312" behindDoc="0" locked="0" layoutInCell="1" allowOverlap="1" wp14:anchorId="6105C1C3" wp14:editId="34E730BB">
                <wp:simplePos x="0" y="0"/>
                <wp:positionH relativeFrom="column">
                  <wp:posOffset>-1080135</wp:posOffset>
                </wp:positionH>
                <wp:positionV relativeFrom="paragraph">
                  <wp:posOffset>-773430</wp:posOffset>
                </wp:positionV>
                <wp:extent cx="9144000" cy="575945"/>
                <wp:effectExtent l="0" t="0" r="0" b="0"/>
                <wp:wrapNone/>
                <wp:docPr id="3" name="Rectángulo 2"/>
                <wp:cNvGraphicFramePr/>
                <a:graphic xmlns:a="http://schemas.openxmlformats.org/drawingml/2006/main">
                  <a:graphicData uri="http://schemas.microsoft.com/office/word/2010/wordprocessingShape">
                    <wps:wsp>
                      <wps:cNvSpPr/>
                      <wps:spPr>
                        <a:xfrm>
                          <a:off x="0" y="0"/>
                          <a:ext cx="9144000" cy="57594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08D8" w:rsidRPr="006D5AAF" w:rsidRDefault="007408D8" w:rsidP="007408D8">
                            <w:pPr>
                              <w:pStyle w:val="NormalWeb"/>
                              <w:spacing w:before="0" w:beforeAutospacing="0" w:after="0" w:afterAutospacing="0"/>
                              <w:ind w:left="113"/>
                              <w:rPr>
                                <w:rFonts w:hAnsiTheme="minorHAnsi"/>
                                <w:b/>
                                <w:color w:val="FFFFFF" w:themeColor="background1"/>
                                <w:spacing w:val="20"/>
                                <w:sz w:val="28"/>
                                <w:szCs w:val="28"/>
                              </w:rPr>
                            </w:pPr>
                            <w:r>
                              <w:rPr>
                                <w:rFonts w:asciiTheme="minorHAnsi" w:hAnsiTheme="minorHAnsi" w:cstheme="minorBidi"/>
                                <w:b/>
                                <w:bCs/>
                                <w:color w:val="FFFFFF" w:themeColor="background1"/>
                                <w:spacing w:val="20"/>
                                <w:kern w:val="24"/>
                                <w:sz w:val="28"/>
                                <w:szCs w:val="28"/>
                              </w:rPr>
                              <w:t xml:space="preserve">REPORTE DE COMENTARIOS      </w:t>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t>Folio 002</w:t>
                            </w:r>
                          </w:p>
                        </w:txbxContent>
                      </wps:txbx>
                      <wps:bodyPr rtlCol="0" anchor="ctr"/>
                    </wps:wsp>
                  </a:graphicData>
                </a:graphic>
                <wp14:sizeRelH relativeFrom="margin">
                  <wp14:pctWidth>0</wp14:pctWidth>
                </wp14:sizeRelH>
              </wp:anchor>
            </w:drawing>
          </mc:Choice>
          <mc:Fallback>
            <w:pict>
              <v:rect w14:anchorId="6105C1C3" id="Rectángulo 2" o:spid="_x0000_s1026" style="position:absolute;left:0;text-align:left;margin-left:-85.05pt;margin-top:-60.9pt;width:10in;height:4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" stroked="f" strokeweight="1pt">
                <v:fill r:id="rId9" o:title="" recolor="t" rotate="t" type="frame"/>
                <v:textbox>
                  <w:txbxContent>
                    <w:p w:rsidR="007408D8" w:rsidRPr="006D5AAF" w:rsidRDefault="007408D8" w:rsidP="007408D8">
                      <w:pPr>
                        <w:pStyle w:val="NormalWeb"/>
                        <w:spacing w:before="0" w:beforeAutospacing="0" w:after="0" w:afterAutospacing="0"/>
                        <w:ind w:left="113"/>
                        <w:rPr>
                          <w:rFonts w:hAnsiTheme="minorHAnsi"/>
                          <w:b/>
                          <w:color w:val="FFFFFF" w:themeColor="background1"/>
                          <w:spacing w:val="20"/>
                          <w:sz w:val="28"/>
                          <w:szCs w:val="28"/>
                        </w:rPr>
                      </w:pPr>
                      <w:r>
                        <w:rPr>
                          <w:rFonts w:asciiTheme="minorHAnsi" w:hAnsiTheme="minorHAnsi" w:cstheme="minorBidi"/>
                          <w:b/>
                          <w:bCs/>
                          <w:color w:val="FFFFFF" w:themeColor="background1"/>
                          <w:spacing w:val="20"/>
                          <w:kern w:val="24"/>
                          <w:sz w:val="28"/>
                          <w:szCs w:val="28"/>
                        </w:rPr>
                        <w:t xml:space="preserve">REPORTE DE COMENTARIOS      </w:t>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t>Folio 002</w:t>
                      </w:r>
                    </w:p>
                  </w:txbxContent>
                </v:textbox>
              </v:rect>
            </w:pict>
          </mc:Fallback>
        </mc:AlternateContent>
      </w:r>
    </w:p>
    <w:p w:rsidR="00577900" w:rsidRDefault="008F00FF" w:rsidP="00433FAE">
      <w:pPr>
        <w:spacing w:after="80" w:line="264" w:lineRule="auto"/>
        <w:ind w:firstLine="0"/>
        <w:jc w:val="center"/>
        <w:rPr>
          <w:b/>
          <w:bCs/>
          <w:sz w:val="28"/>
          <w:szCs w:val="28"/>
        </w:rPr>
      </w:pPr>
      <w:r>
        <w:rPr>
          <w:b/>
          <w:bCs/>
          <w:sz w:val="28"/>
          <w:szCs w:val="28"/>
        </w:rPr>
        <w:t>RE</w:t>
      </w:r>
      <w:r w:rsidR="00112CDE">
        <w:rPr>
          <w:b/>
          <w:bCs/>
          <w:sz w:val="28"/>
          <w:szCs w:val="28"/>
        </w:rPr>
        <w:t>PORTE</w:t>
      </w:r>
      <w:r w:rsidR="00577900">
        <w:rPr>
          <w:b/>
          <w:bCs/>
          <w:sz w:val="28"/>
          <w:szCs w:val="28"/>
        </w:rPr>
        <w:t xml:space="preserve"> DE COMENTARIOS </w:t>
      </w:r>
      <w:r w:rsidR="007C7809">
        <w:rPr>
          <w:b/>
          <w:bCs/>
          <w:sz w:val="28"/>
          <w:szCs w:val="28"/>
        </w:rPr>
        <w:t>AL</w:t>
      </w:r>
      <w:r w:rsidR="00577900">
        <w:rPr>
          <w:b/>
          <w:bCs/>
          <w:sz w:val="28"/>
          <w:szCs w:val="28"/>
        </w:rPr>
        <w:t xml:space="preserve"> PROYECTO DE DISPOSICIONES QUE </w:t>
      </w:r>
      <w:r w:rsidR="00577900" w:rsidRPr="006D5AAF">
        <w:rPr>
          <w:b/>
          <w:bCs/>
          <w:sz w:val="28"/>
          <w:szCs w:val="28"/>
        </w:rPr>
        <w:t>MODIFICA</w:t>
      </w:r>
      <w:r w:rsidR="00577900">
        <w:rPr>
          <w:b/>
          <w:bCs/>
          <w:sz w:val="28"/>
          <w:szCs w:val="28"/>
        </w:rPr>
        <w:t xml:space="preserve"> LAS REGLAS RELACIONADAS CON EL USO DE REMUNERACIONES Y PRESTACIONES LABORALES COMO RESPALDO DE SERVICIOS FINANCIEROS CONTRATADOS POR TRABAJADORES</w:t>
      </w:r>
    </w:p>
    <w:p w:rsidR="00577900" w:rsidRDefault="008F00FF" w:rsidP="00433FAE">
      <w:pPr>
        <w:spacing w:after="80" w:line="264" w:lineRule="auto"/>
        <w:ind w:firstLine="0"/>
        <w:jc w:val="center"/>
        <w:rPr>
          <w:b/>
          <w:bCs/>
          <w:color w:val="FF0000"/>
          <w:sz w:val="28"/>
          <w:szCs w:val="28"/>
        </w:rPr>
      </w:pPr>
      <w:r>
        <w:rPr>
          <w:b/>
          <w:bCs/>
          <w:color w:val="FF0000"/>
          <w:sz w:val="28"/>
          <w:szCs w:val="28"/>
        </w:rPr>
        <w:t>Periodo de consulta</w:t>
      </w:r>
      <w:r w:rsidR="00577900">
        <w:rPr>
          <w:b/>
          <w:bCs/>
          <w:color w:val="FF0000"/>
          <w:sz w:val="28"/>
          <w:szCs w:val="28"/>
        </w:rPr>
        <w:t xml:space="preserve">: </w:t>
      </w:r>
      <w:r>
        <w:rPr>
          <w:b/>
          <w:bCs/>
          <w:color w:val="FF0000"/>
          <w:sz w:val="28"/>
          <w:szCs w:val="28"/>
        </w:rPr>
        <w:t xml:space="preserve">Del 2 al </w:t>
      </w:r>
      <w:r w:rsidR="00577900">
        <w:rPr>
          <w:b/>
          <w:bCs/>
          <w:color w:val="FF0000"/>
          <w:sz w:val="28"/>
          <w:szCs w:val="28"/>
        </w:rPr>
        <w:t>30</w:t>
      </w:r>
      <w:r w:rsidR="00577900" w:rsidRPr="007E39BF">
        <w:rPr>
          <w:b/>
          <w:bCs/>
          <w:color w:val="FF0000"/>
          <w:sz w:val="28"/>
          <w:szCs w:val="28"/>
        </w:rPr>
        <w:t xml:space="preserve"> de abril de 2018</w:t>
      </w:r>
    </w:p>
    <w:p w:rsidR="00CD3AE0" w:rsidRDefault="00CD3AE0" w:rsidP="00112CDE">
      <w:pPr>
        <w:pStyle w:val="Default"/>
        <w:ind w:left="-40"/>
        <w:jc w:val="both"/>
        <w:rPr>
          <w:bCs/>
          <w:sz w:val="22"/>
          <w:szCs w:val="22"/>
        </w:rPr>
      </w:pPr>
    </w:p>
    <w:p w:rsidR="007C0C0F" w:rsidRDefault="007C0C0F" w:rsidP="007C0C0F">
      <w:pPr>
        <w:pStyle w:val="Default"/>
        <w:pBdr>
          <w:top w:val="single" w:sz="4" w:space="1" w:color="auto"/>
          <w:left w:val="single" w:sz="4" w:space="4" w:color="auto"/>
          <w:bottom w:val="single" w:sz="4" w:space="1" w:color="auto"/>
          <w:right w:val="single" w:sz="4" w:space="4" w:color="auto"/>
        </w:pBdr>
        <w:jc w:val="both"/>
        <w:rPr>
          <w:bCs/>
          <w:sz w:val="22"/>
          <w:szCs w:val="22"/>
        </w:rPr>
      </w:pPr>
      <w:r>
        <w:rPr>
          <w:b/>
          <w:bCs/>
          <w:sz w:val="22"/>
          <w:szCs w:val="22"/>
        </w:rPr>
        <w:t xml:space="preserve">El presente reporte </w:t>
      </w:r>
      <w:r w:rsidR="00B31FB1">
        <w:rPr>
          <w:b/>
          <w:bCs/>
          <w:sz w:val="22"/>
          <w:szCs w:val="22"/>
        </w:rPr>
        <w:t xml:space="preserve">expone </w:t>
      </w:r>
      <w:r w:rsidR="00756272">
        <w:rPr>
          <w:b/>
          <w:bCs/>
          <w:sz w:val="22"/>
          <w:szCs w:val="22"/>
        </w:rPr>
        <w:t xml:space="preserve">el análisis </w:t>
      </w:r>
      <w:r>
        <w:rPr>
          <w:b/>
          <w:bCs/>
          <w:sz w:val="22"/>
          <w:szCs w:val="22"/>
        </w:rPr>
        <w:t>que el Banco de México ha</w:t>
      </w:r>
      <w:r w:rsidR="00756272">
        <w:rPr>
          <w:b/>
          <w:bCs/>
          <w:sz w:val="22"/>
          <w:szCs w:val="22"/>
        </w:rPr>
        <w:t xml:space="preserve"> realizado acerca de los comentarios al proyecto</w:t>
      </w:r>
      <w:r>
        <w:rPr>
          <w:b/>
          <w:bCs/>
          <w:sz w:val="22"/>
          <w:szCs w:val="22"/>
        </w:rPr>
        <w:t xml:space="preserve"> de disposiciones de carácter general </w:t>
      </w:r>
      <w:r w:rsidR="00756272">
        <w:rPr>
          <w:b/>
          <w:bCs/>
          <w:sz w:val="22"/>
          <w:szCs w:val="22"/>
        </w:rPr>
        <w:t xml:space="preserve">sobre modificaciones a </w:t>
      </w:r>
      <w:r>
        <w:rPr>
          <w:b/>
          <w:bCs/>
          <w:sz w:val="22"/>
          <w:szCs w:val="22"/>
        </w:rPr>
        <w:t xml:space="preserve">las “Disposiciones aplicables a las operaciones de las Instituciones de Crédito y de la Financiera Nacional de Desarrollo Agropecuario, Rural, Forestal y Pesquero”, emitidas mediante la Circular 3/2012, en relación </w:t>
      </w:r>
      <w:r w:rsidR="00B31FB1">
        <w:rPr>
          <w:b/>
          <w:bCs/>
          <w:sz w:val="22"/>
          <w:szCs w:val="22"/>
        </w:rPr>
        <w:t xml:space="preserve">con </w:t>
      </w:r>
      <w:r>
        <w:rPr>
          <w:b/>
          <w:bCs/>
          <w:sz w:val="22"/>
          <w:szCs w:val="22"/>
        </w:rPr>
        <w:t>el uso de remuneraciones y prestaciones laborales como respaldo de servicios financieros contratados por los trabajadores</w:t>
      </w:r>
      <w:r w:rsidR="0064792E">
        <w:rPr>
          <w:b/>
          <w:bCs/>
          <w:sz w:val="22"/>
          <w:szCs w:val="22"/>
        </w:rPr>
        <w:t xml:space="preserve">. Dichos comentarios fueron recibidos como parte del proceso de </w:t>
      </w:r>
      <w:r w:rsidR="00756272">
        <w:rPr>
          <w:b/>
          <w:bCs/>
          <w:sz w:val="22"/>
          <w:szCs w:val="22"/>
        </w:rPr>
        <w:t xml:space="preserve">consulta pública </w:t>
      </w:r>
      <w:r w:rsidR="0064792E">
        <w:rPr>
          <w:b/>
          <w:bCs/>
          <w:sz w:val="22"/>
          <w:szCs w:val="22"/>
        </w:rPr>
        <w:t xml:space="preserve">del proyecto de disposiciones referido, que el propio Banco llevó a cabo </w:t>
      </w:r>
      <w:r w:rsidR="00756272">
        <w:rPr>
          <w:b/>
          <w:bCs/>
          <w:sz w:val="22"/>
          <w:szCs w:val="22"/>
        </w:rPr>
        <w:t>del 2 al 30 de abril de 2018</w:t>
      </w:r>
      <w:r>
        <w:rPr>
          <w:b/>
          <w:bCs/>
          <w:sz w:val="22"/>
          <w:szCs w:val="22"/>
        </w:rPr>
        <w:t xml:space="preserve">. </w:t>
      </w:r>
      <w:r w:rsidR="00756272">
        <w:rPr>
          <w:b/>
          <w:bCs/>
          <w:sz w:val="22"/>
          <w:szCs w:val="22"/>
        </w:rPr>
        <w:t xml:space="preserve">A este respecto, </w:t>
      </w:r>
      <w:r>
        <w:rPr>
          <w:b/>
          <w:bCs/>
          <w:sz w:val="22"/>
          <w:szCs w:val="22"/>
        </w:rPr>
        <w:t>el contenido de este reporte en ningún caso constituye una decisión o postura oficial definitiva del Banco de México y, por lo tanto, no se deberá considerar como un documento que produzca efectos vinculatorios, genere derechos u obligaciones o fije aspectos de política pública.</w:t>
      </w:r>
    </w:p>
    <w:p w:rsidR="007C0C0F" w:rsidRDefault="007C0C0F" w:rsidP="00112CDE">
      <w:pPr>
        <w:pStyle w:val="Default"/>
        <w:ind w:left="-40"/>
        <w:jc w:val="both"/>
        <w:rPr>
          <w:bCs/>
          <w:sz w:val="22"/>
          <w:szCs w:val="22"/>
        </w:rPr>
      </w:pPr>
    </w:p>
    <w:p w:rsidR="007C0C0F" w:rsidRDefault="007C0C0F" w:rsidP="00112CDE">
      <w:pPr>
        <w:pStyle w:val="Default"/>
        <w:ind w:left="-40"/>
        <w:jc w:val="both"/>
        <w:rPr>
          <w:bCs/>
          <w:sz w:val="22"/>
          <w:szCs w:val="22"/>
        </w:rPr>
      </w:pPr>
    </w:p>
    <w:p w:rsidR="00B31FB1" w:rsidRDefault="00756272" w:rsidP="00112CDE">
      <w:pPr>
        <w:pStyle w:val="Default"/>
        <w:ind w:left="-40"/>
        <w:jc w:val="both"/>
        <w:rPr>
          <w:bCs/>
          <w:sz w:val="22"/>
          <w:szCs w:val="22"/>
        </w:rPr>
      </w:pPr>
      <w:r>
        <w:rPr>
          <w:bCs/>
          <w:sz w:val="22"/>
          <w:szCs w:val="22"/>
        </w:rPr>
        <w:t xml:space="preserve">Este reporte </w:t>
      </w:r>
      <w:r w:rsidR="00112CDE" w:rsidRPr="00112CDE">
        <w:rPr>
          <w:bCs/>
          <w:sz w:val="22"/>
          <w:szCs w:val="22"/>
        </w:rPr>
        <w:t>tiene por objeto exponer el análisis</w:t>
      </w:r>
      <w:r>
        <w:rPr>
          <w:bCs/>
          <w:sz w:val="22"/>
          <w:szCs w:val="22"/>
        </w:rPr>
        <w:t xml:space="preserve"> realizado por el Banco de México a</w:t>
      </w:r>
      <w:r w:rsidR="00112CDE" w:rsidRPr="00112CDE">
        <w:rPr>
          <w:bCs/>
          <w:sz w:val="22"/>
          <w:szCs w:val="22"/>
        </w:rPr>
        <w:t xml:space="preserve"> los comentarios y la información presentada por los participantes en la consulta pública</w:t>
      </w:r>
      <w:r w:rsidR="00B31FB1">
        <w:rPr>
          <w:bCs/>
          <w:sz w:val="22"/>
          <w:szCs w:val="22"/>
        </w:rPr>
        <w:t xml:space="preserve"> llevada a cabo del 2 al 30 de abril de 2018 respecto del “</w:t>
      </w:r>
      <w:r w:rsidR="00B31FB1" w:rsidRPr="00B31FB1">
        <w:rPr>
          <w:bCs/>
          <w:sz w:val="22"/>
          <w:szCs w:val="22"/>
        </w:rPr>
        <w:t>Proyecto de modificacione</w:t>
      </w:r>
      <w:bookmarkStart w:id="0" w:name="_GoBack"/>
      <w:bookmarkEnd w:id="0"/>
      <w:r w:rsidR="00B31FB1" w:rsidRPr="00B31FB1">
        <w:rPr>
          <w:bCs/>
          <w:sz w:val="22"/>
          <w:szCs w:val="22"/>
        </w:rPr>
        <w:t>s a las disposiciones de carácter general del Banco de México relacionadas con el uso de remuneraciones y prestaciones laborales como respaldo de servicios financieros contratados por trabajadores</w:t>
      </w:r>
      <w:r w:rsidR="00B31FB1">
        <w:rPr>
          <w:bCs/>
          <w:sz w:val="22"/>
          <w:szCs w:val="22"/>
        </w:rPr>
        <w:t>”. Asimismo, en este reporte el Banco de México da a conocer su</w:t>
      </w:r>
      <w:r w:rsidR="007C0C0F">
        <w:rPr>
          <w:bCs/>
          <w:sz w:val="22"/>
          <w:szCs w:val="22"/>
        </w:rPr>
        <w:t xml:space="preserve"> opinión respecto de </w:t>
      </w:r>
      <w:r>
        <w:rPr>
          <w:bCs/>
          <w:sz w:val="22"/>
          <w:szCs w:val="22"/>
        </w:rPr>
        <w:t xml:space="preserve">los </w:t>
      </w:r>
      <w:r w:rsidR="007C0C0F">
        <w:rPr>
          <w:bCs/>
          <w:sz w:val="22"/>
          <w:szCs w:val="22"/>
        </w:rPr>
        <w:t>comentarios</w:t>
      </w:r>
      <w:r>
        <w:rPr>
          <w:bCs/>
          <w:sz w:val="22"/>
          <w:szCs w:val="22"/>
        </w:rPr>
        <w:t xml:space="preserve"> referidos</w:t>
      </w:r>
      <w:r w:rsidR="00112CDE" w:rsidRPr="00112CDE">
        <w:rPr>
          <w:bCs/>
          <w:sz w:val="22"/>
          <w:szCs w:val="22"/>
        </w:rPr>
        <w:t>.</w:t>
      </w:r>
      <w:r>
        <w:rPr>
          <w:bCs/>
          <w:sz w:val="22"/>
          <w:szCs w:val="22"/>
        </w:rPr>
        <w:t xml:space="preserve"> </w:t>
      </w:r>
    </w:p>
    <w:p w:rsidR="00B31FB1" w:rsidRDefault="00B31FB1" w:rsidP="00112CDE">
      <w:pPr>
        <w:pStyle w:val="Default"/>
        <w:ind w:left="-40"/>
        <w:jc w:val="both"/>
        <w:rPr>
          <w:bCs/>
          <w:sz w:val="22"/>
          <w:szCs w:val="22"/>
        </w:rPr>
      </w:pPr>
    </w:p>
    <w:p w:rsidR="00112CDE" w:rsidRPr="00112CDE" w:rsidRDefault="0064792E" w:rsidP="00112CDE">
      <w:pPr>
        <w:pStyle w:val="Default"/>
        <w:ind w:left="-40"/>
        <w:jc w:val="both"/>
        <w:rPr>
          <w:bCs/>
          <w:sz w:val="22"/>
          <w:szCs w:val="22"/>
        </w:rPr>
      </w:pPr>
      <w:r>
        <w:rPr>
          <w:bCs/>
          <w:sz w:val="22"/>
          <w:szCs w:val="22"/>
        </w:rPr>
        <w:t>D</w:t>
      </w:r>
      <w:r w:rsidR="00756272">
        <w:rPr>
          <w:bCs/>
          <w:sz w:val="22"/>
          <w:szCs w:val="22"/>
        </w:rPr>
        <w:t>e conformidad con</w:t>
      </w:r>
      <w:r w:rsidR="00756272" w:rsidRPr="00112CDE">
        <w:rPr>
          <w:bCs/>
          <w:sz w:val="22"/>
          <w:szCs w:val="22"/>
        </w:rPr>
        <w:t xml:space="preserve"> lo establecido en las </w:t>
      </w:r>
      <w:r w:rsidR="00756272">
        <w:rPr>
          <w:bCs/>
          <w:sz w:val="22"/>
          <w:szCs w:val="22"/>
        </w:rPr>
        <w:t>“</w:t>
      </w:r>
      <w:r w:rsidR="00756272" w:rsidRPr="00112CDE">
        <w:rPr>
          <w:bCs/>
          <w:sz w:val="22"/>
          <w:szCs w:val="22"/>
        </w:rPr>
        <w:t>Políticas para la Consulta Pública de las Disposiciones de Carácter General que emita el Banco de México</w:t>
      </w:r>
      <w:r w:rsidR="00756272">
        <w:rPr>
          <w:bCs/>
          <w:sz w:val="22"/>
          <w:szCs w:val="22"/>
        </w:rPr>
        <w:t>”</w:t>
      </w:r>
      <w:r w:rsidR="00756272" w:rsidRPr="00112CDE">
        <w:rPr>
          <w:bCs/>
          <w:sz w:val="22"/>
          <w:szCs w:val="22"/>
        </w:rPr>
        <w:t xml:space="preserve"> (las “Políticas”), </w:t>
      </w:r>
      <w:r w:rsidR="00756272">
        <w:rPr>
          <w:bCs/>
          <w:sz w:val="22"/>
          <w:szCs w:val="22"/>
        </w:rPr>
        <w:t xml:space="preserve">emitidas por la Junta de Gobierno de </w:t>
      </w:r>
      <w:r w:rsidR="00756272" w:rsidRPr="00112CDE">
        <w:rPr>
          <w:bCs/>
          <w:sz w:val="22"/>
          <w:szCs w:val="22"/>
        </w:rPr>
        <w:t>este Instituto Central pone a disposición del público el presente reporte de comentarios</w:t>
      </w:r>
      <w:r>
        <w:rPr>
          <w:bCs/>
          <w:sz w:val="22"/>
          <w:szCs w:val="22"/>
        </w:rPr>
        <w:t>. Por otra parte, en consideración a los comentarios recibidos, el Banco de México somete a una nueva consulta pública el proyecto de disposiciones objeto de este reporte, ajustado de conformidad con aquellos aspectos relacionados con dichos comentarios que el Banco de México ha estimado procedente reconocer.</w:t>
      </w:r>
    </w:p>
    <w:p w:rsidR="00112CDE" w:rsidRPr="00112CDE" w:rsidRDefault="00112CDE" w:rsidP="00112CDE">
      <w:pPr>
        <w:pStyle w:val="Default"/>
        <w:ind w:left="-40"/>
        <w:jc w:val="both"/>
        <w:rPr>
          <w:bCs/>
          <w:sz w:val="22"/>
          <w:szCs w:val="22"/>
        </w:rPr>
      </w:pPr>
    </w:p>
    <w:p w:rsidR="00112CDE" w:rsidRPr="00112CDE" w:rsidRDefault="00112CDE" w:rsidP="00112CDE">
      <w:pPr>
        <w:pStyle w:val="Default"/>
        <w:ind w:left="-40"/>
        <w:jc w:val="both"/>
        <w:rPr>
          <w:bCs/>
          <w:sz w:val="22"/>
          <w:szCs w:val="22"/>
        </w:rPr>
      </w:pPr>
      <w:r w:rsidRPr="00112CDE">
        <w:rPr>
          <w:bCs/>
          <w:sz w:val="22"/>
          <w:szCs w:val="22"/>
        </w:rPr>
        <w:t>Durante el periodo de la consulta, el Banco de México recibió, a través del micrositio establecido en su portal de internet para estos efectos</w:t>
      </w:r>
      <w:r w:rsidR="00C1773F">
        <w:rPr>
          <w:bCs/>
          <w:sz w:val="22"/>
          <w:szCs w:val="22"/>
        </w:rPr>
        <w:t xml:space="preserve"> (</w:t>
      </w:r>
      <w:hyperlink r:id="rId10" w:history="1">
        <w:r w:rsidR="00C1773F" w:rsidRPr="0018068D">
          <w:rPr>
            <w:rStyle w:val="Hipervnculo"/>
            <w:bCs/>
            <w:sz w:val="22"/>
            <w:szCs w:val="22"/>
          </w:rPr>
          <w:t>https://www.banxico.org.mx/ConsultaRegulacionWeb/comments.jsp?id=2</w:t>
        </w:r>
      </w:hyperlink>
      <w:r w:rsidR="00C1773F">
        <w:rPr>
          <w:bCs/>
          <w:sz w:val="22"/>
          <w:szCs w:val="22"/>
        </w:rPr>
        <w:t>)</w:t>
      </w:r>
      <w:r w:rsidRPr="00112CDE">
        <w:rPr>
          <w:bCs/>
          <w:sz w:val="22"/>
          <w:szCs w:val="22"/>
        </w:rPr>
        <w:t xml:space="preserve">, comentarios de 9 participantes, de los cuales 6 fueron presentados a nombre de instituciones de crédito, 1 de una asociación que agrupa </w:t>
      </w:r>
      <w:r w:rsidR="007C0E82">
        <w:rPr>
          <w:bCs/>
          <w:sz w:val="22"/>
          <w:szCs w:val="22"/>
        </w:rPr>
        <w:t>a</w:t>
      </w:r>
      <w:r w:rsidRPr="00112CDE">
        <w:rPr>
          <w:bCs/>
          <w:sz w:val="22"/>
          <w:szCs w:val="22"/>
        </w:rPr>
        <w:t xml:space="preserve"> instituciones</w:t>
      </w:r>
      <w:r w:rsidR="007C0E82">
        <w:rPr>
          <w:bCs/>
          <w:sz w:val="22"/>
          <w:szCs w:val="22"/>
        </w:rPr>
        <w:t xml:space="preserve"> de crédito</w:t>
      </w:r>
      <w:r w:rsidRPr="00112CDE">
        <w:rPr>
          <w:bCs/>
          <w:sz w:val="22"/>
          <w:szCs w:val="22"/>
        </w:rPr>
        <w:t xml:space="preserve"> y 2 de personas físicas, según se detalla a continuación:</w:t>
      </w:r>
    </w:p>
    <w:p w:rsidR="00112CDE" w:rsidRPr="00112CDE" w:rsidRDefault="00112CDE" w:rsidP="00E51C33">
      <w:pPr>
        <w:pStyle w:val="Default"/>
        <w:ind w:left="-40"/>
        <w:jc w:val="both"/>
        <w:rPr>
          <w:bCs/>
          <w:sz w:val="22"/>
          <w:szCs w:val="22"/>
        </w:rPr>
      </w:pPr>
    </w:p>
    <w:p w:rsidR="00112CDE" w:rsidRPr="00112CDE" w:rsidRDefault="00112CDE" w:rsidP="007408D8">
      <w:pPr>
        <w:pStyle w:val="Default"/>
        <w:spacing w:after="80"/>
        <w:ind w:left="-42"/>
        <w:jc w:val="center"/>
        <w:rPr>
          <w:bCs/>
          <w:sz w:val="22"/>
          <w:szCs w:val="22"/>
        </w:rPr>
      </w:pPr>
      <w:r w:rsidRPr="00112CDE">
        <w:rPr>
          <w:b/>
          <w:bCs/>
          <w:sz w:val="22"/>
          <w:szCs w:val="22"/>
        </w:rPr>
        <w:t>Cuadro 1</w:t>
      </w:r>
      <w:r w:rsidRPr="00112CDE">
        <w:rPr>
          <w:bCs/>
          <w:sz w:val="22"/>
          <w:szCs w:val="22"/>
        </w:rPr>
        <w:t>: Relación de los participantes en la consulta pública</w:t>
      </w:r>
    </w:p>
    <w:tbl>
      <w:tblPr>
        <w:tblStyle w:val="Tablaconcuadrcula"/>
        <w:tblW w:w="0" w:type="auto"/>
        <w:jc w:val="center"/>
        <w:tblLook w:val="04A0" w:firstRow="1" w:lastRow="0" w:firstColumn="1" w:lastColumn="0" w:noHBand="0" w:noVBand="1"/>
      </w:tblPr>
      <w:tblGrid>
        <w:gridCol w:w="357"/>
        <w:gridCol w:w="6868"/>
        <w:gridCol w:w="1417"/>
      </w:tblGrid>
      <w:tr w:rsidR="00112CDE" w:rsidRPr="00112CDE" w:rsidTr="00057692">
        <w:trPr>
          <w:trHeight w:val="530"/>
          <w:tblHeader/>
          <w:jc w:val="center"/>
        </w:trPr>
        <w:tc>
          <w:tcPr>
            <w:tcW w:w="357" w:type="dxa"/>
            <w:shd w:val="clear" w:color="auto" w:fill="4BACC6"/>
          </w:tcPr>
          <w:p w:rsidR="00112CDE" w:rsidRPr="00112CDE" w:rsidRDefault="00112CDE" w:rsidP="00112CDE">
            <w:pPr>
              <w:pStyle w:val="Default"/>
              <w:spacing w:after="80"/>
              <w:ind w:left="567"/>
              <w:rPr>
                <w:b/>
                <w:bCs/>
                <w:sz w:val="22"/>
                <w:szCs w:val="22"/>
              </w:rPr>
            </w:pPr>
          </w:p>
        </w:tc>
        <w:tc>
          <w:tcPr>
            <w:tcW w:w="6868" w:type="dxa"/>
            <w:shd w:val="clear" w:color="auto" w:fill="4BACC6"/>
          </w:tcPr>
          <w:p w:rsidR="00112CDE" w:rsidRPr="00112CDE" w:rsidRDefault="00112CDE" w:rsidP="00112CDE">
            <w:pPr>
              <w:pStyle w:val="Default"/>
              <w:spacing w:before="120" w:after="80"/>
              <w:jc w:val="center"/>
              <w:rPr>
                <w:b/>
                <w:bCs/>
                <w:sz w:val="28"/>
                <w:szCs w:val="28"/>
              </w:rPr>
            </w:pPr>
            <w:r w:rsidRPr="00112CDE">
              <w:rPr>
                <w:b/>
                <w:bCs/>
                <w:color w:val="FFFFFF" w:themeColor="background1"/>
                <w:sz w:val="28"/>
                <w:szCs w:val="28"/>
              </w:rPr>
              <w:t>Persona</w:t>
            </w:r>
          </w:p>
        </w:tc>
        <w:tc>
          <w:tcPr>
            <w:tcW w:w="1417" w:type="dxa"/>
            <w:shd w:val="clear" w:color="auto" w:fill="4BACC6"/>
          </w:tcPr>
          <w:p w:rsidR="00112CDE" w:rsidRPr="00112CDE" w:rsidRDefault="00112CDE" w:rsidP="00E51C33">
            <w:pPr>
              <w:pStyle w:val="Default"/>
              <w:spacing w:after="80"/>
              <w:jc w:val="center"/>
              <w:rPr>
                <w:b/>
                <w:bCs/>
              </w:rPr>
            </w:pPr>
            <w:r w:rsidRPr="00112CDE">
              <w:rPr>
                <w:b/>
                <w:bCs/>
                <w:color w:val="FFFFFF" w:themeColor="background1"/>
              </w:rPr>
              <w:t>Fecha de recepción</w:t>
            </w:r>
          </w:p>
        </w:tc>
      </w:tr>
      <w:tr w:rsidR="00112CDE" w:rsidRPr="00112CDE" w:rsidTr="00E51C33">
        <w:trPr>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1</w:t>
            </w:r>
          </w:p>
        </w:tc>
        <w:tc>
          <w:tcPr>
            <w:tcW w:w="6868" w:type="dxa"/>
          </w:tcPr>
          <w:p w:rsidR="00112CDE" w:rsidRPr="00112CDE" w:rsidRDefault="00112CDE" w:rsidP="00112CDE">
            <w:pPr>
              <w:pStyle w:val="Default"/>
              <w:spacing w:after="80"/>
              <w:rPr>
                <w:bCs/>
                <w:sz w:val="22"/>
                <w:szCs w:val="22"/>
              </w:rPr>
            </w:pPr>
            <w:r w:rsidRPr="00112CDE">
              <w:rPr>
                <w:bCs/>
                <w:sz w:val="22"/>
                <w:szCs w:val="22"/>
              </w:rPr>
              <w:t>Persona física</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26/04/18</w:t>
            </w:r>
          </w:p>
        </w:tc>
      </w:tr>
      <w:tr w:rsidR="00112CDE" w:rsidRPr="00112CDE" w:rsidTr="00E51C33">
        <w:trPr>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2</w:t>
            </w:r>
          </w:p>
        </w:tc>
        <w:tc>
          <w:tcPr>
            <w:tcW w:w="6868" w:type="dxa"/>
          </w:tcPr>
          <w:p w:rsidR="00112CDE" w:rsidRPr="00112CDE" w:rsidRDefault="00112CDE" w:rsidP="00112CDE">
            <w:pPr>
              <w:pStyle w:val="Default"/>
              <w:spacing w:after="80"/>
              <w:rPr>
                <w:bCs/>
                <w:sz w:val="22"/>
                <w:szCs w:val="22"/>
              </w:rPr>
            </w:pPr>
            <w:r w:rsidRPr="00112CDE">
              <w:rPr>
                <w:bCs/>
                <w:sz w:val="22"/>
                <w:szCs w:val="22"/>
              </w:rPr>
              <w:t>Banco del Bajío, S.A., Institución de Banca Múltiple</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27/04/18</w:t>
            </w:r>
          </w:p>
        </w:tc>
      </w:tr>
      <w:tr w:rsidR="00112CDE" w:rsidRPr="00112CDE" w:rsidTr="00E51C33">
        <w:trPr>
          <w:trHeight w:val="530"/>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3</w:t>
            </w:r>
          </w:p>
        </w:tc>
        <w:tc>
          <w:tcPr>
            <w:tcW w:w="6868" w:type="dxa"/>
          </w:tcPr>
          <w:p w:rsidR="00112CDE" w:rsidRPr="00112CDE" w:rsidRDefault="00112CDE" w:rsidP="00112CDE">
            <w:pPr>
              <w:pStyle w:val="Default"/>
              <w:spacing w:after="80"/>
              <w:rPr>
                <w:bCs/>
                <w:sz w:val="22"/>
                <w:szCs w:val="22"/>
              </w:rPr>
            </w:pPr>
            <w:r w:rsidRPr="00112CDE">
              <w:rPr>
                <w:bCs/>
                <w:sz w:val="22"/>
                <w:szCs w:val="22"/>
              </w:rPr>
              <w:t xml:space="preserve">Banco Mercantil del Norte, S.A., Institución de Banca Múltiple, Grupo Financiero Banorte </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27/04/18</w:t>
            </w:r>
          </w:p>
        </w:tc>
      </w:tr>
      <w:tr w:rsidR="00112CDE" w:rsidRPr="00112CDE" w:rsidTr="00E51C33">
        <w:trPr>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4</w:t>
            </w:r>
          </w:p>
        </w:tc>
        <w:tc>
          <w:tcPr>
            <w:tcW w:w="6868" w:type="dxa"/>
          </w:tcPr>
          <w:p w:rsidR="00112CDE" w:rsidRPr="00112CDE" w:rsidRDefault="00112CDE" w:rsidP="00112CDE">
            <w:pPr>
              <w:pStyle w:val="Default"/>
              <w:spacing w:after="80"/>
              <w:rPr>
                <w:bCs/>
                <w:sz w:val="22"/>
                <w:szCs w:val="22"/>
              </w:rPr>
            </w:pPr>
            <w:r w:rsidRPr="00112CDE">
              <w:rPr>
                <w:bCs/>
                <w:sz w:val="22"/>
                <w:szCs w:val="22"/>
              </w:rPr>
              <w:t>HSBC México, S.A., Institución de Banca Múltiple, Grupo Financiero HSBC</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30/04/18</w:t>
            </w:r>
          </w:p>
        </w:tc>
      </w:tr>
      <w:tr w:rsidR="00112CDE" w:rsidRPr="00112CDE" w:rsidTr="00E51C33">
        <w:trPr>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5</w:t>
            </w:r>
          </w:p>
        </w:tc>
        <w:tc>
          <w:tcPr>
            <w:tcW w:w="6868" w:type="dxa"/>
          </w:tcPr>
          <w:p w:rsidR="00112CDE" w:rsidRPr="00112CDE" w:rsidRDefault="00112CDE" w:rsidP="00112CDE">
            <w:pPr>
              <w:pStyle w:val="Default"/>
              <w:spacing w:after="80"/>
              <w:rPr>
                <w:bCs/>
                <w:sz w:val="22"/>
                <w:szCs w:val="22"/>
              </w:rPr>
            </w:pPr>
            <w:r w:rsidRPr="00112CDE">
              <w:rPr>
                <w:bCs/>
                <w:sz w:val="22"/>
                <w:szCs w:val="22"/>
              </w:rPr>
              <w:t>Banco Azteca, S.A. Institución de Banca Múltiple</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30/04/18</w:t>
            </w:r>
          </w:p>
        </w:tc>
      </w:tr>
      <w:tr w:rsidR="00112CDE" w:rsidRPr="00112CDE" w:rsidTr="00E51C33">
        <w:trPr>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6</w:t>
            </w:r>
          </w:p>
        </w:tc>
        <w:tc>
          <w:tcPr>
            <w:tcW w:w="6868" w:type="dxa"/>
          </w:tcPr>
          <w:p w:rsidR="00112CDE" w:rsidRPr="00112CDE" w:rsidRDefault="00112CDE" w:rsidP="00112CDE">
            <w:pPr>
              <w:pStyle w:val="Default"/>
              <w:spacing w:after="80"/>
              <w:rPr>
                <w:bCs/>
                <w:sz w:val="22"/>
                <w:szCs w:val="22"/>
              </w:rPr>
            </w:pPr>
            <w:r w:rsidRPr="00112CDE">
              <w:rPr>
                <w:bCs/>
                <w:sz w:val="22"/>
                <w:szCs w:val="22"/>
              </w:rPr>
              <w:t>Asociación de Bancos de México ABM, A.C</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30/04/18</w:t>
            </w:r>
          </w:p>
        </w:tc>
      </w:tr>
      <w:tr w:rsidR="00112CDE" w:rsidRPr="00112CDE" w:rsidTr="00E51C33">
        <w:trPr>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7</w:t>
            </w:r>
          </w:p>
        </w:tc>
        <w:tc>
          <w:tcPr>
            <w:tcW w:w="6868" w:type="dxa"/>
          </w:tcPr>
          <w:p w:rsidR="00112CDE" w:rsidRPr="00112CDE" w:rsidRDefault="00112CDE" w:rsidP="00112CDE">
            <w:pPr>
              <w:pStyle w:val="Default"/>
              <w:spacing w:after="80"/>
              <w:rPr>
                <w:bCs/>
                <w:sz w:val="22"/>
                <w:szCs w:val="22"/>
              </w:rPr>
            </w:pPr>
            <w:r w:rsidRPr="00112CDE">
              <w:rPr>
                <w:bCs/>
                <w:sz w:val="22"/>
                <w:szCs w:val="22"/>
              </w:rPr>
              <w:t>BBVA Bancomer, S.A., Institución de Banca Múltiple, Grupo Financiero BBVA Bancomer</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30/04/18</w:t>
            </w:r>
          </w:p>
        </w:tc>
      </w:tr>
      <w:tr w:rsidR="00112CDE" w:rsidRPr="00112CDE" w:rsidTr="00E51C33">
        <w:trPr>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8</w:t>
            </w:r>
          </w:p>
        </w:tc>
        <w:tc>
          <w:tcPr>
            <w:tcW w:w="6868" w:type="dxa"/>
          </w:tcPr>
          <w:p w:rsidR="00112CDE" w:rsidRPr="00112CDE" w:rsidRDefault="00112CDE" w:rsidP="00112CDE">
            <w:pPr>
              <w:pStyle w:val="Default"/>
              <w:spacing w:after="80"/>
              <w:rPr>
                <w:bCs/>
                <w:sz w:val="22"/>
                <w:szCs w:val="22"/>
              </w:rPr>
            </w:pPr>
            <w:r w:rsidRPr="00112CDE">
              <w:rPr>
                <w:bCs/>
                <w:sz w:val="22"/>
                <w:szCs w:val="22"/>
              </w:rPr>
              <w:t>Banco Nacional de México, S.A., Institución de Banca Múltiple, Grupo Financiero Banamex</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30/04/18</w:t>
            </w:r>
          </w:p>
        </w:tc>
      </w:tr>
      <w:tr w:rsidR="00112CDE" w:rsidRPr="00112CDE" w:rsidTr="00E51C33">
        <w:trPr>
          <w:jc w:val="center"/>
        </w:trPr>
        <w:tc>
          <w:tcPr>
            <w:tcW w:w="357" w:type="dxa"/>
          </w:tcPr>
          <w:p w:rsidR="00112CDE" w:rsidRPr="00112CDE" w:rsidRDefault="00112CDE" w:rsidP="00112CDE">
            <w:pPr>
              <w:pStyle w:val="Default"/>
              <w:spacing w:after="80"/>
              <w:ind w:left="29"/>
              <w:jc w:val="both"/>
              <w:rPr>
                <w:bCs/>
                <w:sz w:val="22"/>
                <w:szCs w:val="22"/>
              </w:rPr>
            </w:pPr>
            <w:r w:rsidRPr="00112CDE">
              <w:rPr>
                <w:bCs/>
                <w:sz w:val="22"/>
                <w:szCs w:val="22"/>
              </w:rPr>
              <w:t>9</w:t>
            </w:r>
          </w:p>
        </w:tc>
        <w:tc>
          <w:tcPr>
            <w:tcW w:w="6868" w:type="dxa"/>
          </w:tcPr>
          <w:p w:rsidR="00112CDE" w:rsidRPr="00112CDE" w:rsidRDefault="00112CDE" w:rsidP="00112CDE">
            <w:pPr>
              <w:pStyle w:val="Default"/>
              <w:spacing w:after="80"/>
              <w:rPr>
                <w:bCs/>
                <w:sz w:val="22"/>
                <w:szCs w:val="22"/>
              </w:rPr>
            </w:pPr>
            <w:r w:rsidRPr="00112CDE">
              <w:rPr>
                <w:bCs/>
                <w:sz w:val="22"/>
                <w:szCs w:val="22"/>
              </w:rPr>
              <w:t>Persona física</w:t>
            </w:r>
          </w:p>
        </w:tc>
        <w:tc>
          <w:tcPr>
            <w:tcW w:w="1417" w:type="dxa"/>
          </w:tcPr>
          <w:p w:rsidR="00112CDE" w:rsidRPr="00112CDE" w:rsidRDefault="00112CDE" w:rsidP="00E51C33">
            <w:pPr>
              <w:pStyle w:val="Default"/>
              <w:spacing w:after="80"/>
              <w:ind w:left="52"/>
              <w:jc w:val="center"/>
              <w:rPr>
                <w:bCs/>
                <w:sz w:val="22"/>
                <w:szCs w:val="22"/>
              </w:rPr>
            </w:pPr>
            <w:r w:rsidRPr="00112CDE">
              <w:rPr>
                <w:bCs/>
                <w:sz w:val="22"/>
                <w:szCs w:val="22"/>
              </w:rPr>
              <w:t>30/04/18</w:t>
            </w:r>
          </w:p>
        </w:tc>
      </w:tr>
    </w:tbl>
    <w:p w:rsidR="00324858" w:rsidRDefault="00324858" w:rsidP="00D40B57">
      <w:pPr>
        <w:pStyle w:val="Default"/>
        <w:ind w:left="-40"/>
        <w:jc w:val="both"/>
        <w:rPr>
          <w:bCs/>
          <w:sz w:val="22"/>
          <w:szCs w:val="22"/>
        </w:rPr>
      </w:pPr>
    </w:p>
    <w:p w:rsidR="00112CDE" w:rsidRDefault="005B5DBA" w:rsidP="00D40B57">
      <w:pPr>
        <w:pStyle w:val="Default"/>
        <w:ind w:left="-40"/>
        <w:jc w:val="both"/>
        <w:rPr>
          <w:bCs/>
          <w:sz w:val="22"/>
          <w:szCs w:val="22"/>
        </w:rPr>
      </w:pPr>
      <w:r>
        <w:rPr>
          <w:bCs/>
          <w:sz w:val="22"/>
          <w:szCs w:val="22"/>
        </w:rPr>
        <w:t>Se</w:t>
      </w:r>
      <w:r w:rsidR="00D40B57">
        <w:rPr>
          <w:bCs/>
          <w:sz w:val="22"/>
          <w:szCs w:val="22"/>
        </w:rPr>
        <w:t xml:space="preserve"> elimina</w:t>
      </w:r>
      <w:r>
        <w:rPr>
          <w:bCs/>
          <w:sz w:val="22"/>
          <w:szCs w:val="22"/>
        </w:rPr>
        <w:t>r</w:t>
      </w:r>
      <w:r w:rsidR="00D40B57">
        <w:rPr>
          <w:bCs/>
          <w:sz w:val="22"/>
          <w:szCs w:val="22"/>
        </w:rPr>
        <w:t>o</w:t>
      </w:r>
      <w:r w:rsidR="00C1773F">
        <w:rPr>
          <w:bCs/>
          <w:sz w:val="22"/>
          <w:szCs w:val="22"/>
        </w:rPr>
        <w:t>n</w:t>
      </w:r>
      <w:r w:rsidR="00D40B57">
        <w:rPr>
          <w:bCs/>
          <w:sz w:val="22"/>
          <w:szCs w:val="22"/>
        </w:rPr>
        <w:t xml:space="preserve"> 3 comentarios </w:t>
      </w:r>
      <w:r>
        <w:rPr>
          <w:bCs/>
          <w:sz w:val="22"/>
          <w:szCs w:val="22"/>
        </w:rPr>
        <w:t>que se recibieron en adición a los ya señalados</w:t>
      </w:r>
      <w:r w:rsidR="00D40B57">
        <w:rPr>
          <w:bCs/>
          <w:sz w:val="22"/>
          <w:szCs w:val="22"/>
        </w:rPr>
        <w:t>, dos de ellos por no tener una relación con la presente consulta, y uno a solicitud de quien comentó.</w:t>
      </w:r>
    </w:p>
    <w:p w:rsidR="00B31FB1" w:rsidRDefault="00B31FB1" w:rsidP="00D40B57">
      <w:pPr>
        <w:pStyle w:val="Default"/>
        <w:ind w:left="-40"/>
        <w:jc w:val="both"/>
        <w:rPr>
          <w:bCs/>
          <w:sz w:val="22"/>
          <w:szCs w:val="22"/>
        </w:rPr>
      </w:pPr>
    </w:p>
    <w:p w:rsidR="00B31FB1" w:rsidRDefault="00B31FB1" w:rsidP="00D40B57">
      <w:pPr>
        <w:pStyle w:val="Default"/>
        <w:ind w:left="-40"/>
        <w:jc w:val="both"/>
        <w:rPr>
          <w:bCs/>
          <w:sz w:val="22"/>
          <w:szCs w:val="22"/>
        </w:rPr>
      </w:pPr>
      <w:r>
        <w:rPr>
          <w:bCs/>
          <w:sz w:val="22"/>
          <w:szCs w:val="22"/>
        </w:rPr>
        <w:t>Los comentarios referidos están a disposición del público en el micrositio referido.</w:t>
      </w:r>
    </w:p>
    <w:p w:rsidR="0059438F" w:rsidRDefault="0059438F" w:rsidP="00D40B57">
      <w:pPr>
        <w:pStyle w:val="Default"/>
        <w:ind w:left="-40"/>
        <w:jc w:val="both"/>
        <w:rPr>
          <w:bCs/>
          <w:sz w:val="22"/>
          <w:szCs w:val="22"/>
        </w:rPr>
      </w:pPr>
    </w:p>
    <w:p w:rsidR="007C0C0F" w:rsidRPr="007C0C0F" w:rsidRDefault="007C0C0F" w:rsidP="007C0C0F">
      <w:pPr>
        <w:ind w:firstLine="0"/>
        <w:rPr>
          <w:rFonts w:ascii="Calibri" w:hAnsi="Calibri" w:cs="Calibri"/>
          <w:b/>
          <w:color w:val="00B050"/>
          <w:sz w:val="22"/>
        </w:rPr>
      </w:pPr>
      <w:r w:rsidRPr="007C0C0F">
        <w:rPr>
          <w:rFonts w:ascii="Calibri" w:hAnsi="Calibri" w:cs="Calibri"/>
          <w:b/>
          <w:color w:val="00B050"/>
          <w:sz w:val="22"/>
        </w:rPr>
        <w:t>Objetivos del proyecto de disposiciones objeto de esta consulta</w:t>
      </w:r>
    </w:p>
    <w:p w:rsidR="007C0C0F" w:rsidRPr="00F41EE5" w:rsidRDefault="007C0C0F" w:rsidP="007C0C0F">
      <w:pPr>
        <w:pStyle w:val="Default"/>
        <w:numPr>
          <w:ilvl w:val="0"/>
          <w:numId w:val="19"/>
        </w:numPr>
        <w:jc w:val="both"/>
        <w:rPr>
          <w:bCs/>
          <w:sz w:val="22"/>
          <w:szCs w:val="22"/>
        </w:rPr>
      </w:pPr>
      <w:r w:rsidRPr="00F41EE5">
        <w:rPr>
          <w:bCs/>
          <w:sz w:val="22"/>
          <w:szCs w:val="22"/>
        </w:rPr>
        <w:t>Permitir, cuando el trabajador así lo determine, que sus remuneraciones y prestaciones laborales depositadas en su cuenta sean utilizadas como fuente de pago de los créditos que contrate con cualquier banco acreedor, en igualdad de condiciones a las que tiene el banco que administra la cuenta de nómina.</w:t>
      </w:r>
    </w:p>
    <w:p w:rsidR="007C0C0F" w:rsidRPr="00F41EE5" w:rsidRDefault="007C0C0F" w:rsidP="007C0C0F">
      <w:pPr>
        <w:pStyle w:val="Default"/>
        <w:ind w:left="1068"/>
        <w:jc w:val="both"/>
        <w:rPr>
          <w:bCs/>
          <w:sz w:val="22"/>
          <w:szCs w:val="22"/>
        </w:rPr>
      </w:pPr>
    </w:p>
    <w:p w:rsidR="007C0C0F" w:rsidRPr="00F41EE5" w:rsidRDefault="007C0C0F" w:rsidP="007C0C0F">
      <w:pPr>
        <w:pStyle w:val="Default"/>
        <w:numPr>
          <w:ilvl w:val="0"/>
          <w:numId w:val="19"/>
        </w:numPr>
        <w:jc w:val="both"/>
        <w:rPr>
          <w:bCs/>
          <w:sz w:val="22"/>
          <w:szCs w:val="22"/>
        </w:rPr>
      </w:pPr>
      <w:r w:rsidRPr="00F41EE5">
        <w:rPr>
          <w:bCs/>
          <w:sz w:val="22"/>
          <w:szCs w:val="22"/>
        </w:rPr>
        <w:t>Prom</w:t>
      </w:r>
      <w:r w:rsidR="001D6E3B">
        <w:rPr>
          <w:bCs/>
          <w:sz w:val="22"/>
          <w:szCs w:val="22"/>
        </w:rPr>
        <w:t>over</w:t>
      </w:r>
      <w:r w:rsidRPr="00F41EE5">
        <w:rPr>
          <w:bCs/>
          <w:sz w:val="22"/>
          <w:szCs w:val="22"/>
        </w:rPr>
        <w:t xml:space="preserve"> una mejora en la calidad en la cartera de créditos bancarios asociados a la nómina cuando el servicio de dispersión de nómina ofrecido por las instituciones de crédito migra de una de ellas a otra.</w:t>
      </w:r>
    </w:p>
    <w:p w:rsidR="007C0C0F" w:rsidRPr="00F41EE5" w:rsidRDefault="007C0C0F" w:rsidP="007C0C0F">
      <w:pPr>
        <w:pStyle w:val="Default"/>
        <w:jc w:val="both"/>
        <w:rPr>
          <w:bCs/>
          <w:sz w:val="22"/>
          <w:szCs w:val="22"/>
        </w:rPr>
      </w:pPr>
    </w:p>
    <w:p w:rsidR="007C0C0F" w:rsidRPr="00F41EE5" w:rsidRDefault="007C0C0F" w:rsidP="007C0C0F">
      <w:pPr>
        <w:pStyle w:val="Default"/>
        <w:numPr>
          <w:ilvl w:val="0"/>
          <w:numId w:val="19"/>
        </w:numPr>
        <w:jc w:val="both"/>
        <w:rPr>
          <w:bCs/>
          <w:sz w:val="22"/>
          <w:szCs w:val="22"/>
        </w:rPr>
      </w:pPr>
      <w:r w:rsidRPr="00F41EE5">
        <w:rPr>
          <w:bCs/>
          <w:sz w:val="22"/>
          <w:szCs w:val="22"/>
        </w:rPr>
        <w:t>Establece</w:t>
      </w:r>
      <w:r w:rsidR="001D6E3B">
        <w:rPr>
          <w:bCs/>
          <w:sz w:val="22"/>
          <w:szCs w:val="22"/>
        </w:rPr>
        <w:t>r</w:t>
      </w:r>
      <w:r w:rsidRPr="00F41EE5">
        <w:rPr>
          <w:bCs/>
          <w:sz w:val="22"/>
          <w:szCs w:val="22"/>
        </w:rPr>
        <w:t xml:space="preserve"> la obligación de las instituciones de crédito de que presten el servicio de dispersión de nómina a los patrones, en las cuentas que los empleados decidan abrir en otros bancos, sin enfrentar cargos diferenciados que obstaculicen dicha decisión. </w:t>
      </w:r>
    </w:p>
    <w:p w:rsidR="007C0C0F" w:rsidRPr="00F41EE5" w:rsidRDefault="007C0C0F" w:rsidP="007C0C0F">
      <w:pPr>
        <w:pStyle w:val="Default"/>
        <w:ind w:left="1068"/>
        <w:jc w:val="both"/>
        <w:rPr>
          <w:bCs/>
          <w:sz w:val="22"/>
          <w:szCs w:val="22"/>
        </w:rPr>
      </w:pPr>
    </w:p>
    <w:p w:rsidR="007C0C0F" w:rsidRPr="00F41EE5" w:rsidRDefault="007C0C0F" w:rsidP="007C0C0F">
      <w:pPr>
        <w:pStyle w:val="Default"/>
        <w:numPr>
          <w:ilvl w:val="0"/>
          <w:numId w:val="19"/>
        </w:numPr>
        <w:jc w:val="both"/>
        <w:rPr>
          <w:bCs/>
          <w:sz w:val="22"/>
          <w:szCs w:val="22"/>
        </w:rPr>
      </w:pPr>
      <w:r w:rsidRPr="00F41EE5">
        <w:rPr>
          <w:bCs/>
          <w:sz w:val="22"/>
          <w:szCs w:val="22"/>
        </w:rPr>
        <w:lastRenderedPageBreak/>
        <w:t>Fomentar la eficiencia en los servicios de portabilidad de cuentas de nómina entre instituciones bancarias, a que tienen derecho todos los trabajadores cuentahabientes, mediante una serie de medidas encaminadas a simplificar los trámites respectivos, sin descuidar la protección a los recursos de los trabajadores.</w:t>
      </w:r>
    </w:p>
    <w:p w:rsidR="00D40B57" w:rsidRPr="00112CDE" w:rsidRDefault="00D40B57" w:rsidP="00112CDE">
      <w:pPr>
        <w:pStyle w:val="Default"/>
        <w:spacing w:after="80"/>
        <w:ind w:left="567"/>
        <w:rPr>
          <w:bCs/>
          <w:sz w:val="22"/>
          <w:szCs w:val="22"/>
        </w:rPr>
      </w:pPr>
    </w:p>
    <w:p w:rsidR="00577900"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 a</w:t>
      </w:r>
      <w:r w:rsidR="0089504C" w:rsidRPr="007408D8">
        <w:rPr>
          <w:rFonts w:ascii="Cambria" w:eastAsiaTheme="majorEastAsia" w:hAnsi="Cambria" w:cstheme="majorBidi"/>
          <w:bCs w:val="0"/>
          <w:color w:val="365F91"/>
          <w:kern w:val="0"/>
          <w:sz w:val="26"/>
          <w:szCs w:val="26"/>
          <w:lang w:eastAsia="en-US"/>
        </w:rPr>
        <w:t>cerca de</w:t>
      </w:r>
      <w:r w:rsidR="00577900" w:rsidRPr="007408D8">
        <w:rPr>
          <w:rFonts w:ascii="Cambria" w:eastAsiaTheme="majorEastAsia" w:hAnsi="Cambria" w:cstheme="majorBidi"/>
          <w:bCs w:val="0"/>
          <w:color w:val="365F91"/>
          <w:kern w:val="0"/>
          <w:sz w:val="26"/>
          <w:szCs w:val="26"/>
          <w:lang w:eastAsia="en-US"/>
        </w:rPr>
        <w:t xml:space="preserve"> qué tipo de crédito </w:t>
      </w:r>
      <w:r w:rsidR="0089504C" w:rsidRPr="007408D8">
        <w:rPr>
          <w:rFonts w:ascii="Cambria" w:eastAsiaTheme="majorEastAsia" w:hAnsi="Cambria" w:cstheme="majorBidi"/>
          <w:bCs w:val="0"/>
          <w:color w:val="365F91"/>
          <w:kern w:val="0"/>
          <w:sz w:val="26"/>
          <w:szCs w:val="26"/>
          <w:lang w:eastAsia="en-US"/>
        </w:rPr>
        <w:t xml:space="preserve">es posible </w:t>
      </w:r>
      <w:r w:rsidR="007C7809" w:rsidRPr="007408D8">
        <w:rPr>
          <w:rFonts w:ascii="Cambria" w:eastAsiaTheme="majorEastAsia" w:hAnsi="Cambria" w:cstheme="majorBidi"/>
          <w:bCs w:val="0"/>
          <w:color w:val="365F91"/>
          <w:kern w:val="0"/>
          <w:sz w:val="26"/>
          <w:szCs w:val="26"/>
          <w:lang w:eastAsia="en-US"/>
        </w:rPr>
        <w:t xml:space="preserve">designar como “crédito asociado a la nómina” </w:t>
      </w:r>
      <w:r w:rsidR="00577900" w:rsidRPr="007408D8">
        <w:rPr>
          <w:rFonts w:ascii="Cambria" w:eastAsiaTheme="majorEastAsia" w:hAnsi="Cambria" w:cstheme="majorBidi"/>
          <w:bCs w:val="0"/>
          <w:color w:val="365F91"/>
          <w:kern w:val="0"/>
          <w:sz w:val="26"/>
          <w:szCs w:val="26"/>
          <w:lang w:eastAsia="en-US"/>
        </w:rPr>
        <w:t>y los depósitos que se</w:t>
      </w:r>
      <w:r w:rsidR="007C7809" w:rsidRPr="007408D8">
        <w:rPr>
          <w:rFonts w:ascii="Cambria" w:eastAsiaTheme="majorEastAsia" w:hAnsi="Cambria" w:cstheme="majorBidi"/>
          <w:bCs w:val="0"/>
          <w:color w:val="365F91"/>
          <w:kern w:val="0"/>
          <w:sz w:val="26"/>
          <w:szCs w:val="26"/>
          <w:lang w:eastAsia="en-US"/>
        </w:rPr>
        <w:t xml:space="preserve"> consideran como prestaciones laborales</w:t>
      </w:r>
      <w:r w:rsidR="009F658A" w:rsidRPr="007408D8">
        <w:rPr>
          <w:rFonts w:ascii="Cambria" w:eastAsiaTheme="majorEastAsia" w:hAnsi="Cambria" w:cstheme="majorBidi"/>
          <w:bCs w:val="0"/>
          <w:color w:val="365F91"/>
          <w:kern w:val="0"/>
          <w:sz w:val="26"/>
          <w:szCs w:val="26"/>
          <w:lang w:eastAsia="en-US"/>
        </w:rPr>
        <w:t>.</w:t>
      </w:r>
    </w:p>
    <w:p w:rsidR="007C7809" w:rsidRDefault="008044D9" w:rsidP="00F46AF5">
      <w:pPr>
        <w:pStyle w:val="Default"/>
        <w:numPr>
          <w:ilvl w:val="1"/>
          <w:numId w:val="1"/>
        </w:numPr>
        <w:spacing w:before="240" w:after="80"/>
        <w:ind w:left="714" w:hanging="430"/>
        <w:jc w:val="both"/>
        <w:rPr>
          <w:bCs/>
          <w:sz w:val="22"/>
          <w:szCs w:val="22"/>
        </w:rPr>
      </w:pPr>
      <w:r w:rsidRPr="00692638">
        <w:rPr>
          <w:bCs/>
          <w:sz w:val="22"/>
          <w:szCs w:val="22"/>
        </w:rPr>
        <w:t xml:space="preserve">Algunos de los comentarios recibidos </w:t>
      </w:r>
      <w:r w:rsidR="00C62E58">
        <w:rPr>
          <w:bCs/>
          <w:sz w:val="22"/>
          <w:szCs w:val="22"/>
        </w:rPr>
        <w:t>aluden a</w:t>
      </w:r>
      <w:r w:rsidRPr="00692638">
        <w:rPr>
          <w:bCs/>
          <w:sz w:val="22"/>
          <w:szCs w:val="22"/>
        </w:rPr>
        <w:t xml:space="preserve"> la definición del nuevo concepto que la Regla introduce como “Crédito Asociado a la Nómina” (CAN).</w:t>
      </w:r>
      <w:r>
        <w:rPr>
          <w:bCs/>
          <w:sz w:val="22"/>
          <w:szCs w:val="22"/>
        </w:rPr>
        <w:t xml:space="preserve"> Se cuestiona</w:t>
      </w:r>
      <w:r w:rsidRPr="00692638">
        <w:rPr>
          <w:bCs/>
          <w:sz w:val="22"/>
          <w:szCs w:val="22"/>
        </w:rPr>
        <w:t xml:space="preserve"> si estos créditos incluyen los hipotecarios, personales o de nómina no </w:t>
      </w:r>
      <w:r w:rsidR="00C62E58">
        <w:rPr>
          <w:bCs/>
          <w:sz w:val="22"/>
          <w:szCs w:val="22"/>
        </w:rPr>
        <w:t>r</w:t>
      </w:r>
      <w:r w:rsidRPr="00692638">
        <w:rPr>
          <w:bCs/>
          <w:sz w:val="22"/>
          <w:szCs w:val="22"/>
        </w:rPr>
        <w:t>evolventes o sin garantía</w:t>
      </w:r>
      <w:r w:rsidR="001E059E">
        <w:rPr>
          <w:bCs/>
          <w:sz w:val="22"/>
          <w:szCs w:val="22"/>
        </w:rPr>
        <w:t>,</w:t>
      </w:r>
      <w:r w:rsidRPr="00692638">
        <w:rPr>
          <w:bCs/>
          <w:sz w:val="22"/>
          <w:szCs w:val="22"/>
        </w:rPr>
        <w:t xml:space="preserve"> y cuya fuente de pago sea la cuenta de depósito en que se recibe la nómina</w:t>
      </w:r>
      <w:r>
        <w:rPr>
          <w:bCs/>
          <w:sz w:val="22"/>
          <w:szCs w:val="22"/>
        </w:rPr>
        <w:t>. Este</w:t>
      </w:r>
      <w:r w:rsidR="001E059E">
        <w:rPr>
          <w:bCs/>
          <w:sz w:val="22"/>
          <w:szCs w:val="22"/>
        </w:rPr>
        <w:t xml:space="preserve"> </w:t>
      </w:r>
      <w:r>
        <w:rPr>
          <w:bCs/>
          <w:sz w:val="22"/>
          <w:szCs w:val="22"/>
        </w:rPr>
        <w:t>cuestionamiento se encuentra asociado a una propuesta para</w:t>
      </w:r>
      <w:r w:rsidR="007C7809">
        <w:rPr>
          <w:bCs/>
          <w:sz w:val="22"/>
          <w:szCs w:val="22"/>
        </w:rPr>
        <w:t xml:space="preserve"> que </w:t>
      </w:r>
      <w:r w:rsidR="00577900">
        <w:rPr>
          <w:bCs/>
          <w:sz w:val="22"/>
          <w:szCs w:val="22"/>
        </w:rPr>
        <w:t xml:space="preserve">los créditos revolventes </w:t>
      </w:r>
      <w:r w:rsidR="007C7809">
        <w:rPr>
          <w:bCs/>
          <w:sz w:val="22"/>
          <w:szCs w:val="22"/>
        </w:rPr>
        <w:t xml:space="preserve">se incluyan como </w:t>
      </w:r>
      <w:r w:rsidR="00577900">
        <w:rPr>
          <w:bCs/>
          <w:sz w:val="22"/>
          <w:szCs w:val="22"/>
        </w:rPr>
        <w:t>elegib</w:t>
      </w:r>
      <w:r>
        <w:rPr>
          <w:bCs/>
          <w:sz w:val="22"/>
          <w:szCs w:val="22"/>
        </w:rPr>
        <w:t>les para asociarse a la nómina.</w:t>
      </w:r>
    </w:p>
    <w:p w:rsidR="007408D8" w:rsidRDefault="007C0C0F" w:rsidP="00F46AF5">
      <w:pPr>
        <w:pStyle w:val="Default"/>
        <w:spacing w:after="80"/>
        <w:ind w:left="728"/>
        <w:jc w:val="both"/>
        <w:rPr>
          <w:bCs/>
          <w:i/>
          <w:sz w:val="22"/>
          <w:szCs w:val="22"/>
        </w:rPr>
      </w:pPr>
      <w:r>
        <w:rPr>
          <w:b/>
          <w:color w:val="00B050"/>
          <w:sz w:val="22"/>
        </w:rPr>
        <w:t>Opinión</w:t>
      </w:r>
      <w:r w:rsidR="007408D8" w:rsidRPr="005E63C2">
        <w:rPr>
          <w:b/>
          <w:color w:val="00B050"/>
          <w:sz w:val="22"/>
        </w:rPr>
        <w:t xml:space="preserve"> del Banco de México</w:t>
      </w:r>
      <w:r w:rsidR="007408D8" w:rsidRPr="001E059E">
        <w:rPr>
          <w:bCs/>
          <w:i/>
          <w:sz w:val="22"/>
          <w:szCs w:val="22"/>
        </w:rPr>
        <w:t xml:space="preserve"> </w:t>
      </w:r>
    </w:p>
    <w:p w:rsidR="00CD3AE0" w:rsidRDefault="008044D9" w:rsidP="00F46AF5">
      <w:pPr>
        <w:pStyle w:val="Default"/>
        <w:spacing w:after="80"/>
        <w:ind w:left="728"/>
        <w:jc w:val="both"/>
        <w:rPr>
          <w:bCs/>
          <w:i/>
          <w:sz w:val="22"/>
          <w:szCs w:val="22"/>
        </w:rPr>
      </w:pPr>
      <w:r w:rsidRPr="001E059E">
        <w:rPr>
          <w:bCs/>
          <w:i/>
          <w:sz w:val="22"/>
          <w:szCs w:val="22"/>
        </w:rPr>
        <w:t xml:space="preserve">La definición de CAN </w:t>
      </w:r>
      <w:r w:rsidR="006E70BC">
        <w:rPr>
          <w:bCs/>
          <w:i/>
          <w:sz w:val="22"/>
          <w:szCs w:val="22"/>
        </w:rPr>
        <w:t xml:space="preserve">establecida en el proyecto de disposiciones </w:t>
      </w:r>
      <w:r w:rsidRPr="001E059E">
        <w:rPr>
          <w:bCs/>
          <w:i/>
          <w:sz w:val="22"/>
          <w:szCs w:val="22"/>
        </w:rPr>
        <w:t xml:space="preserve">permite que cualquier tipo de crédito no revolvente </w:t>
      </w:r>
      <w:r w:rsidR="001E059E" w:rsidRPr="001E059E">
        <w:rPr>
          <w:bCs/>
          <w:i/>
          <w:sz w:val="22"/>
          <w:szCs w:val="22"/>
        </w:rPr>
        <w:t xml:space="preserve">cuyos importes de pago </w:t>
      </w:r>
      <w:r w:rsidR="00C66F30">
        <w:rPr>
          <w:bCs/>
          <w:i/>
          <w:sz w:val="22"/>
          <w:szCs w:val="22"/>
        </w:rPr>
        <w:t xml:space="preserve">sean fijos y </w:t>
      </w:r>
      <w:r w:rsidR="001E059E" w:rsidRPr="001E059E">
        <w:rPr>
          <w:bCs/>
          <w:i/>
          <w:sz w:val="22"/>
          <w:szCs w:val="22"/>
        </w:rPr>
        <w:t xml:space="preserve">se acuerde que se carguen a la Cuenta Ordenante del Cliente, puedan ser designados como </w:t>
      </w:r>
      <w:r w:rsidR="006E70BC">
        <w:rPr>
          <w:bCs/>
          <w:i/>
          <w:sz w:val="22"/>
          <w:szCs w:val="22"/>
        </w:rPr>
        <w:t>CAN</w:t>
      </w:r>
      <w:r w:rsidR="00C62E58">
        <w:rPr>
          <w:bCs/>
          <w:i/>
          <w:sz w:val="22"/>
          <w:szCs w:val="22"/>
        </w:rPr>
        <w:t>. P</w:t>
      </w:r>
      <w:r w:rsidR="00523861">
        <w:rPr>
          <w:bCs/>
          <w:i/>
          <w:sz w:val="22"/>
          <w:szCs w:val="22"/>
        </w:rPr>
        <w:t xml:space="preserve">or otra </w:t>
      </w:r>
      <w:r w:rsidR="00C62E58">
        <w:rPr>
          <w:bCs/>
          <w:i/>
          <w:sz w:val="22"/>
          <w:szCs w:val="22"/>
        </w:rPr>
        <w:t>p</w:t>
      </w:r>
      <w:r w:rsidR="00523861">
        <w:rPr>
          <w:bCs/>
          <w:i/>
          <w:sz w:val="22"/>
          <w:szCs w:val="22"/>
        </w:rPr>
        <w:t>arte</w:t>
      </w:r>
      <w:r w:rsidR="001E059E" w:rsidRPr="001E059E">
        <w:rPr>
          <w:bCs/>
          <w:i/>
          <w:sz w:val="22"/>
          <w:szCs w:val="22"/>
        </w:rPr>
        <w:t xml:space="preserve">, </w:t>
      </w:r>
      <w:r w:rsidR="001E059E">
        <w:rPr>
          <w:bCs/>
          <w:i/>
          <w:sz w:val="22"/>
          <w:szCs w:val="22"/>
        </w:rPr>
        <w:t>s</w:t>
      </w:r>
      <w:r w:rsidR="00EB3531">
        <w:rPr>
          <w:bCs/>
          <w:i/>
          <w:sz w:val="22"/>
          <w:szCs w:val="22"/>
        </w:rPr>
        <w:t>e considera que la</w:t>
      </w:r>
      <w:r w:rsidR="00577900" w:rsidRPr="00577900">
        <w:rPr>
          <w:bCs/>
          <w:i/>
          <w:sz w:val="22"/>
          <w:szCs w:val="22"/>
        </w:rPr>
        <w:t xml:space="preserve"> inclusión </w:t>
      </w:r>
      <w:r w:rsidR="007C7809">
        <w:rPr>
          <w:bCs/>
          <w:i/>
          <w:sz w:val="22"/>
          <w:szCs w:val="22"/>
        </w:rPr>
        <w:t xml:space="preserve">de créditos revolventes </w:t>
      </w:r>
      <w:r w:rsidR="00C62E58">
        <w:rPr>
          <w:bCs/>
          <w:i/>
          <w:sz w:val="22"/>
          <w:szCs w:val="22"/>
        </w:rPr>
        <w:t xml:space="preserve">para ser considerados como elegibles para ser CAN </w:t>
      </w:r>
      <w:r w:rsidR="00577900" w:rsidRPr="00577900">
        <w:rPr>
          <w:bCs/>
          <w:i/>
          <w:sz w:val="22"/>
          <w:szCs w:val="22"/>
        </w:rPr>
        <w:t xml:space="preserve">puede beneficiar al </w:t>
      </w:r>
      <w:r w:rsidR="007C7809">
        <w:rPr>
          <w:bCs/>
          <w:i/>
          <w:sz w:val="22"/>
          <w:szCs w:val="22"/>
        </w:rPr>
        <w:t>cliente</w:t>
      </w:r>
      <w:r w:rsidR="00C62E58">
        <w:rPr>
          <w:bCs/>
          <w:i/>
          <w:sz w:val="22"/>
          <w:szCs w:val="22"/>
        </w:rPr>
        <w:t xml:space="preserve"> en virtud de una mayor oferta y </w:t>
      </w:r>
      <w:r w:rsidR="00C66F30">
        <w:rPr>
          <w:bCs/>
          <w:i/>
          <w:sz w:val="22"/>
          <w:szCs w:val="22"/>
        </w:rPr>
        <w:t xml:space="preserve">potencial </w:t>
      </w:r>
      <w:r w:rsidR="00C62E58">
        <w:rPr>
          <w:bCs/>
          <w:i/>
          <w:sz w:val="22"/>
          <w:szCs w:val="22"/>
        </w:rPr>
        <w:t>menor costo de los mismos. Sin embargo</w:t>
      </w:r>
      <w:r w:rsidR="00C66F30">
        <w:rPr>
          <w:bCs/>
          <w:i/>
          <w:sz w:val="22"/>
          <w:szCs w:val="22"/>
        </w:rPr>
        <w:t>,</w:t>
      </w:r>
      <w:r w:rsidR="00C62E58">
        <w:rPr>
          <w:bCs/>
          <w:i/>
          <w:sz w:val="22"/>
          <w:szCs w:val="22"/>
        </w:rPr>
        <w:t xml:space="preserve"> se considera que</w:t>
      </w:r>
      <w:r w:rsidR="0059438F">
        <w:rPr>
          <w:bCs/>
          <w:i/>
          <w:sz w:val="22"/>
          <w:szCs w:val="22"/>
        </w:rPr>
        <w:t>,</w:t>
      </w:r>
      <w:r w:rsidR="00577900" w:rsidRPr="00577900">
        <w:rPr>
          <w:bCs/>
          <w:i/>
          <w:sz w:val="22"/>
          <w:szCs w:val="22"/>
        </w:rPr>
        <w:t xml:space="preserve"> </w:t>
      </w:r>
      <w:r w:rsidR="00C62E58">
        <w:rPr>
          <w:bCs/>
          <w:i/>
          <w:sz w:val="22"/>
          <w:szCs w:val="22"/>
        </w:rPr>
        <w:t xml:space="preserve">de no establecerse un mecanismo claro de asociación </w:t>
      </w:r>
      <w:r w:rsidR="00C66F30">
        <w:rPr>
          <w:bCs/>
          <w:i/>
          <w:sz w:val="22"/>
          <w:szCs w:val="22"/>
        </w:rPr>
        <w:t xml:space="preserve">de pago, esta facilidad </w:t>
      </w:r>
      <w:r w:rsidR="00937065">
        <w:rPr>
          <w:bCs/>
          <w:i/>
          <w:sz w:val="22"/>
          <w:szCs w:val="22"/>
        </w:rPr>
        <w:t>podría ser utilizada de forma inadecuada por algunos</w:t>
      </w:r>
      <w:r w:rsidR="00577900" w:rsidRPr="00577900">
        <w:rPr>
          <w:bCs/>
          <w:i/>
          <w:sz w:val="22"/>
          <w:szCs w:val="22"/>
        </w:rPr>
        <w:t xml:space="preserve"> </w:t>
      </w:r>
      <w:r w:rsidR="00C62E58">
        <w:rPr>
          <w:bCs/>
          <w:i/>
          <w:sz w:val="22"/>
          <w:szCs w:val="22"/>
        </w:rPr>
        <w:t>oferentes de crédito no revolvente</w:t>
      </w:r>
      <w:r w:rsidR="00577900" w:rsidRPr="00577900">
        <w:rPr>
          <w:bCs/>
          <w:i/>
          <w:sz w:val="22"/>
          <w:szCs w:val="22"/>
        </w:rPr>
        <w:t xml:space="preserve"> (</w:t>
      </w:r>
      <w:r w:rsidR="00C62E58">
        <w:rPr>
          <w:bCs/>
          <w:i/>
          <w:sz w:val="22"/>
          <w:szCs w:val="22"/>
        </w:rPr>
        <w:t xml:space="preserve">e.g. </w:t>
      </w:r>
      <w:r w:rsidR="007C7809">
        <w:rPr>
          <w:bCs/>
          <w:i/>
          <w:sz w:val="22"/>
          <w:szCs w:val="22"/>
        </w:rPr>
        <w:t xml:space="preserve">bloquear una cantidad </w:t>
      </w:r>
      <w:r w:rsidR="00577900" w:rsidRPr="00577900">
        <w:rPr>
          <w:bCs/>
          <w:i/>
          <w:sz w:val="22"/>
          <w:szCs w:val="22"/>
        </w:rPr>
        <w:t>mayor a</w:t>
      </w:r>
      <w:r w:rsidR="007C7809">
        <w:rPr>
          <w:bCs/>
          <w:i/>
          <w:sz w:val="22"/>
          <w:szCs w:val="22"/>
        </w:rPr>
        <w:t xml:space="preserve"> </w:t>
      </w:r>
      <w:r w:rsidR="00577900" w:rsidRPr="00577900">
        <w:rPr>
          <w:bCs/>
          <w:i/>
          <w:sz w:val="22"/>
          <w:szCs w:val="22"/>
        </w:rPr>
        <w:t>l</w:t>
      </w:r>
      <w:r w:rsidR="007C7809">
        <w:rPr>
          <w:bCs/>
          <w:i/>
          <w:sz w:val="22"/>
          <w:szCs w:val="22"/>
        </w:rPr>
        <w:t xml:space="preserve">a necesaria para cubrir </w:t>
      </w:r>
      <w:r w:rsidR="00C66F30">
        <w:rPr>
          <w:bCs/>
          <w:i/>
          <w:sz w:val="22"/>
          <w:szCs w:val="22"/>
        </w:rPr>
        <w:t xml:space="preserve">el pago de </w:t>
      </w:r>
      <w:r w:rsidR="007C7809">
        <w:rPr>
          <w:bCs/>
          <w:i/>
          <w:sz w:val="22"/>
          <w:szCs w:val="22"/>
        </w:rPr>
        <w:t xml:space="preserve">tales créditos </w:t>
      </w:r>
      <w:r w:rsidR="00C66F30">
        <w:rPr>
          <w:bCs/>
          <w:i/>
          <w:sz w:val="22"/>
          <w:szCs w:val="22"/>
        </w:rPr>
        <w:t xml:space="preserve">limitando el espacio disponible para asociar otros créditos a los </w:t>
      </w:r>
      <w:r w:rsidR="007C7809">
        <w:rPr>
          <w:bCs/>
          <w:i/>
          <w:sz w:val="22"/>
          <w:szCs w:val="22"/>
        </w:rPr>
        <w:t>recursos</w:t>
      </w:r>
      <w:r w:rsidR="00577900" w:rsidRPr="00577900">
        <w:rPr>
          <w:bCs/>
          <w:i/>
          <w:sz w:val="22"/>
          <w:szCs w:val="22"/>
        </w:rPr>
        <w:t xml:space="preserve"> </w:t>
      </w:r>
      <w:r w:rsidR="007C7809">
        <w:rPr>
          <w:bCs/>
          <w:i/>
          <w:sz w:val="22"/>
          <w:szCs w:val="22"/>
        </w:rPr>
        <w:t>que pueden destinarse a los CAN</w:t>
      </w:r>
      <w:r w:rsidR="00577900" w:rsidRPr="00577900">
        <w:rPr>
          <w:bCs/>
          <w:i/>
          <w:sz w:val="22"/>
          <w:szCs w:val="22"/>
        </w:rPr>
        <w:t xml:space="preserve">). </w:t>
      </w:r>
    </w:p>
    <w:p w:rsidR="00CD3AE0" w:rsidRPr="00414AB0" w:rsidRDefault="00CD3AE0" w:rsidP="00F46AF5">
      <w:pPr>
        <w:ind w:left="686" w:firstLine="14"/>
        <w:rPr>
          <w:b/>
          <w:color w:val="00B050"/>
          <w:sz w:val="22"/>
        </w:rPr>
      </w:pPr>
      <w:r w:rsidRPr="00414AB0">
        <w:rPr>
          <w:b/>
          <w:color w:val="00B050"/>
          <w:sz w:val="22"/>
        </w:rPr>
        <w:t>Propuesta</w:t>
      </w:r>
    </w:p>
    <w:p w:rsidR="00BD4569" w:rsidRDefault="00C66F30" w:rsidP="00F46AF5">
      <w:pPr>
        <w:pStyle w:val="Default"/>
        <w:spacing w:after="80"/>
        <w:ind w:left="686" w:firstLine="14"/>
        <w:jc w:val="both"/>
        <w:rPr>
          <w:bCs/>
          <w:i/>
          <w:sz w:val="22"/>
          <w:szCs w:val="22"/>
        </w:rPr>
      </w:pPr>
      <w:r>
        <w:rPr>
          <w:bCs/>
          <w:i/>
          <w:sz w:val="22"/>
          <w:szCs w:val="22"/>
        </w:rPr>
        <w:t xml:space="preserve">Considerando </w:t>
      </w:r>
      <w:r w:rsidR="00BD4569">
        <w:rPr>
          <w:bCs/>
          <w:i/>
          <w:sz w:val="22"/>
          <w:szCs w:val="22"/>
        </w:rPr>
        <w:t>lo anterior, s</w:t>
      </w:r>
      <w:r w:rsidR="00577900" w:rsidRPr="00577900">
        <w:rPr>
          <w:bCs/>
          <w:i/>
          <w:sz w:val="22"/>
          <w:szCs w:val="22"/>
        </w:rPr>
        <w:t>e incluir</w:t>
      </w:r>
      <w:r w:rsidR="001E059E">
        <w:rPr>
          <w:bCs/>
          <w:i/>
          <w:sz w:val="22"/>
          <w:szCs w:val="22"/>
        </w:rPr>
        <w:t>á</w:t>
      </w:r>
      <w:r>
        <w:rPr>
          <w:bCs/>
          <w:i/>
          <w:sz w:val="22"/>
          <w:szCs w:val="22"/>
        </w:rPr>
        <w:t xml:space="preserve"> la posibilidad de que </w:t>
      </w:r>
      <w:r w:rsidR="007C7809">
        <w:rPr>
          <w:bCs/>
          <w:i/>
          <w:sz w:val="22"/>
          <w:szCs w:val="22"/>
        </w:rPr>
        <w:t xml:space="preserve">los créditos revolventes </w:t>
      </w:r>
      <w:r>
        <w:rPr>
          <w:bCs/>
          <w:i/>
          <w:sz w:val="22"/>
          <w:szCs w:val="22"/>
        </w:rPr>
        <w:t xml:space="preserve">puedan ser designados CAN </w:t>
      </w:r>
      <w:r w:rsidR="007C7809">
        <w:rPr>
          <w:bCs/>
          <w:i/>
          <w:sz w:val="22"/>
          <w:szCs w:val="22"/>
        </w:rPr>
        <w:t>hasta</w:t>
      </w:r>
      <w:r w:rsidR="00577900" w:rsidRPr="00577900">
        <w:rPr>
          <w:bCs/>
          <w:i/>
          <w:sz w:val="22"/>
          <w:szCs w:val="22"/>
        </w:rPr>
        <w:t xml:space="preserve"> por </w:t>
      </w:r>
      <w:r>
        <w:rPr>
          <w:bCs/>
          <w:i/>
          <w:sz w:val="22"/>
          <w:szCs w:val="22"/>
        </w:rPr>
        <w:t>un espacio que no excederá d</w:t>
      </w:r>
      <w:r w:rsidR="007C7809">
        <w:rPr>
          <w:bCs/>
          <w:i/>
          <w:sz w:val="22"/>
          <w:szCs w:val="22"/>
        </w:rPr>
        <w:t>el</w:t>
      </w:r>
      <w:r w:rsidR="00577900" w:rsidRPr="00577900">
        <w:rPr>
          <w:bCs/>
          <w:i/>
          <w:sz w:val="22"/>
          <w:szCs w:val="22"/>
        </w:rPr>
        <w:t xml:space="preserve"> 10% de</w:t>
      </w:r>
      <w:r w:rsidR="00BD4569">
        <w:rPr>
          <w:bCs/>
          <w:i/>
          <w:sz w:val="22"/>
          <w:szCs w:val="22"/>
        </w:rPr>
        <w:t xml:space="preserve"> </w:t>
      </w:r>
      <w:r w:rsidR="00577900" w:rsidRPr="00577900">
        <w:rPr>
          <w:bCs/>
          <w:i/>
          <w:sz w:val="22"/>
          <w:szCs w:val="22"/>
        </w:rPr>
        <w:t>l</w:t>
      </w:r>
      <w:r w:rsidR="0059438F">
        <w:rPr>
          <w:bCs/>
          <w:i/>
          <w:sz w:val="22"/>
          <w:szCs w:val="22"/>
        </w:rPr>
        <w:t>as prestaciones laborales</w:t>
      </w:r>
      <w:r w:rsidR="002B00A5">
        <w:rPr>
          <w:bCs/>
          <w:i/>
          <w:sz w:val="22"/>
          <w:szCs w:val="22"/>
        </w:rPr>
        <w:t>,</w:t>
      </w:r>
      <w:r w:rsidR="00BD4569">
        <w:rPr>
          <w:bCs/>
          <w:i/>
          <w:sz w:val="22"/>
          <w:szCs w:val="22"/>
        </w:rPr>
        <w:t xml:space="preserve"> por tarjeta</w:t>
      </w:r>
      <w:r>
        <w:rPr>
          <w:bCs/>
          <w:i/>
          <w:sz w:val="22"/>
          <w:szCs w:val="22"/>
        </w:rPr>
        <w:t xml:space="preserve"> asociada</w:t>
      </w:r>
      <w:r w:rsidR="00577900" w:rsidRPr="00577900">
        <w:rPr>
          <w:bCs/>
          <w:i/>
          <w:sz w:val="22"/>
          <w:szCs w:val="22"/>
        </w:rPr>
        <w:t>.</w:t>
      </w:r>
      <w:r w:rsidR="002B00A5">
        <w:rPr>
          <w:bCs/>
          <w:i/>
          <w:sz w:val="22"/>
          <w:szCs w:val="22"/>
        </w:rPr>
        <w:t xml:space="preserve"> (artículo 22 Bis</w:t>
      </w:r>
      <w:r w:rsidR="007C23BA">
        <w:rPr>
          <w:bCs/>
          <w:i/>
          <w:sz w:val="22"/>
          <w:szCs w:val="22"/>
        </w:rPr>
        <w:t xml:space="preserve"> </w:t>
      </w:r>
      <w:r w:rsidR="002B00A5">
        <w:rPr>
          <w:bCs/>
          <w:i/>
          <w:sz w:val="22"/>
          <w:szCs w:val="22"/>
        </w:rPr>
        <w:t>1, fracción I, inciso b))</w:t>
      </w:r>
    </w:p>
    <w:p w:rsidR="007C7809" w:rsidRPr="00BD4569" w:rsidRDefault="001E059E" w:rsidP="00F46AF5">
      <w:pPr>
        <w:pStyle w:val="Default"/>
        <w:numPr>
          <w:ilvl w:val="1"/>
          <w:numId w:val="1"/>
        </w:numPr>
        <w:spacing w:before="240" w:after="80"/>
        <w:ind w:left="700" w:hanging="402"/>
        <w:jc w:val="both"/>
        <w:rPr>
          <w:bCs/>
          <w:sz w:val="22"/>
          <w:szCs w:val="22"/>
        </w:rPr>
      </w:pPr>
      <w:r>
        <w:rPr>
          <w:bCs/>
          <w:sz w:val="22"/>
          <w:szCs w:val="22"/>
        </w:rPr>
        <w:t>Algunos comentarios s</w:t>
      </w:r>
      <w:r w:rsidR="00BD4569">
        <w:rPr>
          <w:bCs/>
          <w:sz w:val="22"/>
          <w:szCs w:val="22"/>
        </w:rPr>
        <w:t xml:space="preserve">olicitan </w:t>
      </w:r>
      <w:r w:rsidR="00577900">
        <w:rPr>
          <w:bCs/>
          <w:sz w:val="22"/>
          <w:szCs w:val="22"/>
        </w:rPr>
        <w:t>aclarar si la cuen</w:t>
      </w:r>
      <w:r w:rsidR="00335045">
        <w:rPr>
          <w:bCs/>
          <w:sz w:val="22"/>
          <w:szCs w:val="22"/>
        </w:rPr>
        <w:t>ta</w:t>
      </w:r>
      <w:r w:rsidR="00577900">
        <w:rPr>
          <w:bCs/>
          <w:sz w:val="22"/>
          <w:szCs w:val="22"/>
        </w:rPr>
        <w:t xml:space="preserve"> </w:t>
      </w:r>
      <w:r w:rsidR="00BD4569">
        <w:rPr>
          <w:bCs/>
          <w:sz w:val="22"/>
          <w:szCs w:val="22"/>
        </w:rPr>
        <w:t xml:space="preserve">de depósito </w:t>
      </w:r>
      <w:r w:rsidR="00577900">
        <w:rPr>
          <w:bCs/>
          <w:sz w:val="22"/>
          <w:szCs w:val="22"/>
        </w:rPr>
        <w:t xml:space="preserve">debe ser </w:t>
      </w:r>
      <w:r w:rsidR="00BD4569">
        <w:rPr>
          <w:bCs/>
          <w:sz w:val="22"/>
          <w:szCs w:val="22"/>
        </w:rPr>
        <w:t xml:space="preserve">un producto </w:t>
      </w:r>
      <w:r w:rsidR="00577900">
        <w:rPr>
          <w:bCs/>
          <w:sz w:val="22"/>
          <w:szCs w:val="22"/>
        </w:rPr>
        <w:t xml:space="preserve">de </w:t>
      </w:r>
      <w:r w:rsidR="00BD4569">
        <w:rPr>
          <w:bCs/>
          <w:sz w:val="22"/>
          <w:szCs w:val="22"/>
        </w:rPr>
        <w:t xml:space="preserve">“cuenta de </w:t>
      </w:r>
      <w:r w:rsidR="00577900">
        <w:rPr>
          <w:bCs/>
          <w:sz w:val="22"/>
          <w:szCs w:val="22"/>
        </w:rPr>
        <w:t>nómina</w:t>
      </w:r>
      <w:r w:rsidR="00BD4569">
        <w:rPr>
          <w:bCs/>
          <w:sz w:val="22"/>
          <w:szCs w:val="22"/>
        </w:rPr>
        <w:t>”</w:t>
      </w:r>
      <w:r w:rsidR="00577900">
        <w:rPr>
          <w:bCs/>
          <w:sz w:val="22"/>
          <w:szCs w:val="22"/>
        </w:rPr>
        <w:t xml:space="preserve"> para considerarse elegible.</w:t>
      </w:r>
      <w:r w:rsidR="00577900" w:rsidRPr="00BD4569">
        <w:rPr>
          <w:bCs/>
          <w:sz w:val="22"/>
          <w:szCs w:val="22"/>
        </w:rPr>
        <w:t xml:space="preserve"> </w:t>
      </w:r>
    </w:p>
    <w:p w:rsidR="007408D8" w:rsidRDefault="007C0C0F" w:rsidP="00F46AF5">
      <w:pPr>
        <w:pStyle w:val="Default"/>
        <w:spacing w:after="80"/>
        <w:ind w:left="686" w:firstLine="14"/>
        <w:jc w:val="both"/>
        <w:rPr>
          <w:bCs/>
          <w:i/>
          <w:sz w:val="22"/>
          <w:szCs w:val="22"/>
        </w:rPr>
      </w:pPr>
      <w:r>
        <w:rPr>
          <w:b/>
          <w:color w:val="00B050"/>
          <w:sz w:val="22"/>
        </w:rPr>
        <w:t>Opinión</w:t>
      </w:r>
      <w:r w:rsidR="007408D8" w:rsidRPr="005E63C2">
        <w:rPr>
          <w:b/>
          <w:color w:val="00B050"/>
          <w:sz w:val="22"/>
        </w:rPr>
        <w:t xml:space="preserve"> del Banco de México</w:t>
      </w:r>
      <w:r w:rsidR="007408D8" w:rsidRPr="00BD4569">
        <w:rPr>
          <w:bCs/>
          <w:i/>
          <w:sz w:val="22"/>
          <w:szCs w:val="22"/>
        </w:rPr>
        <w:t xml:space="preserve"> </w:t>
      </w:r>
    </w:p>
    <w:p w:rsidR="00577900" w:rsidRDefault="00BD4569" w:rsidP="00F46AF5">
      <w:pPr>
        <w:pStyle w:val="Default"/>
        <w:spacing w:after="80"/>
        <w:ind w:left="686" w:firstLine="14"/>
        <w:jc w:val="both"/>
        <w:rPr>
          <w:bCs/>
          <w:sz w:val="22"/>
          <w:szCs w:val="22"/>
        </w:rPr>
      </w:pPr>
      <w:r w:rsidRPr="00BD4569">
        <w:rPr>
          <w:bCs/>
          <w:i/>
          <w:sz w:val="22"/>
          <w:szCs w:val="22"/>
        </w:rPr>
        <w:t>N</w:t>
      </w:r>
      <w:r w:rsidR="00577900" w:rsidRPr="00BD4569">
        <w:rPr>
          <w:bCs/>
          <w:i/>
          <w:sz w:val="22"/>
          <w:szCs w:val="22"/>
        </w:rPr>
        <w:t>o</w:t>
      </w:r>
      <w:r w:rsidR="00577900" w:rsidRPr="00577900">
        <w:rPr>
          <w:bCs/>
          <w:i/>
          <w:sz w:val="22"/>
          <w:szCs w:val="22"/>
        </w:rPr>
        <w:t xml:space="preserve"> necesariamente</w:t>
      </w:r>
      <w:r w:rsidR="00C66F30">
        <w:rPr>
          <w:bCs/>
          <w:i/>
          <w:sz w:val="22"/>
          <w:szCs w:val="22"/>
        </w:rPr>
        <w:t xml:space="preserve"> debe ser un producto denominado “cuenta de nómina”</w:t>
      </w:r>
      <w:r>
        <w:rPr>
          <w:bCs/>
          <w:i/>
          <w:sz w:val="22"/>
          <w:szCs w:val="22"/>
        </w:rPr>
        <w:t>, toda vez que podrá</w:t>
      </w:r>
      <w:r w:rsidR="006048A8">
        <w:rPr>
          <w:bCs/>
          <w:i/>
          <w:sz w:val="22"/>
          <w:szCs w:val="22"/>
        </w:rPr>
        <w:t>n</w:t>
      </w:r>
      <w:r>
        <w:rPr>
          <w:bCs/>
          <w:i/>
          <w:sz w:val="22"/>
          <w:szCs w:val="22"/>
        </w:rPr>
        <w:t xml:space="preserve"> utilizarse </w:t>
      </w:r>
      <w:r w:rsidR="00C756FB">
        <w:rPr>
          <w:bCs/>
          <w:i/>
          <w:sz w:val="22"/>
          <w:szCs w:val="22"/>
        </w:rPr>
        <w:t xml:space="preserve">los recursos de </w:t>
      </w:r>
      <w:r>
        <w:rPr>
          <w:bCs/>
          <w:i/>
          <w:sz w:val="22"/>
          <w:szCs w:val="22"/>
        </w:rPr>
        <w:t xml:space="preserve">cualquier cuenta en la </w:t>
      </w:r>
      <w:r w:rsidR="00577900" w:rsidRPr="00577900">
        <w:rPr>
          <w:bCs/>
          <w:i/>
          <w:sz w:val="22"/>
          <w:szCs w:val="22"/>
        </w:rPr>
        <w:t xml:space="preserve">que </w:t>
      </w:r>
      <w:r>
        <w:rPr>
          <w:bCs/>
          <w:i/>
          <w:sz w:val="22"/>
          <w:szCs w:val="22"/>
        </w:rPr>
        <w:t xml:space="preserve">se depositen </w:t>
      </w:r>
      <w:r w:rsidR="00577900" w:rsidRPr="00577900">
        <w:rPr>
          <w:bCs/>
          <w:i/>
          <w:sz w:val="22"/>
          <w:szCs w:val="22"/>
        </w:rPr>
        <w:t>prestaciones lab</w:t>
      </w:r>
      <w:r w:rsidR="00C756FB">
        <w:rPr>
          <w:bCs/>
          <w:i/>
          <w:sz w:val="22"/>
          <w:szCs w:val="22"/>
        </w:rPr>
        <w:t>orales</w:t>
      </w:r>
      <w:r w:rsidR="00C756FB">
        <w:rPr>
          <w:rStyle w:val="Refdenotaalpie"/>
          <w:bCs/>
          <w:i/>
          <w:sz w:val="22"/>
          <w:szCs w:val="22"/>
        </w:rPr>
        <w:footnoteReference w:id="1"/>
      </w:r>
      <w:r w:rsidR="009C4CA1">
        <w:rPr>
          <w:bCs/>
          <w:i/>
          <w:sz w:val="22"/>
          <w:szCs w:val="22"/>
        </w:rPr>
        <w:t>; para tales efectos</w:t>
      </w:r>
      <w:r w:rsidR="00C66F30">
        <w:rPr>
          <w:bCs/>
          <w:i/>
          <w:sz w:val="22"/>
          <w:szCs w:val="22"/>
        </w:rPr>
        <w:t>, en caso de no denominarse “cuenta de nómina”,</w:t>
      </w:r>
      <w:r w:rsidR="009C4CA1">
        <w:rPr>
          <w:bCs/>
          <w:i/>
          <w:sz w:val="22"/>
          <w:szCs w:val="22"/>
        </w:rPr>
        <w:t xml:space="preserve"> el cliente deberá demos</w:t>
      </w:r>
      <w:r w:rsidR="009C4CA1">
        <w:rPr>
          <w:bCs/>
          <w:i/>
          <w:sz w:val="22"/>
          <w:szCs w:val="22"/>
        </w:rPr>
        <w:lastRenderedPageBreak/>
        <w:t xml:space="preserve">trar con sus estados de cuenta y comprobantes de pago que los depósitos realizados por su patrón corresponden al pago de prestaciones laborales, o bien, demostrar que ya le ha sido otorgado un crédito </w:t>
      </w:r>
      <w:r w:rsidR="00C66F30">
        <w:rPr>
          <w:bCs/>
          <w:i/>
          <w:sz w:val="22"/>
          <w:szCs w:val="22"/>
        </w:rPr>
        <w:t>con fuente de pago de prestaciones laborales y</w:t>
      </w:r>
      <w:r w:rsidR="009C4CA1">
        <w:rPr>
          <w:bCs/>
          <w:i/>
          <w:sz w:val="22"/>
          <w:szCs w:val="22"/>
        </w:rPr>
        <w:t xml:space="preserve"> que </w:t>
      </w:r>
      <w:r w:rsidR="00C66F30">
        <w:rPr>
          <w:bCs/>
          <w:i/>
          <w:sz w:val="22"/>
          <w:szCs w:val="22"/>
        </w:rPr>
        <w:t xml:space="preserve">se paga o </w:t>
      </w:r>
      <w:r w:rsidR="009C4CA1">
        <w:rPr>
          <w:bCs/>
          <w:i/>
          <w:sz w:val="22"/>
          <w:szCs w:val="22"/>
        </w:rPr>
        <w:t>ha sido pagado con cargo a la cuenta en la cual desea domiciliar un CAN</w:t>
      </w:r>
      <w:r w:rsidR="0089504C">
        <w:rPr>
          <w:bCs/>
          <w:i/>
          <w:sz w:val="22"/>
          <w:szCs w:val="22"/>
        </w:rPr>
        <w:t>.</w:t>
      </w:r>
      <w:r w:rsidR="002B00A5">
        <w:rPr>
          <w:bCs/>
          <w:i/>
          <w:sz w:val="22"/>
          <w:szCs w:val="22"/>
        </w:rPr>
        <w:t xml:space="preserve"> (artículo 22 Bis)</w:t>
      </w:r>
    </w:p>
    <w:p w:rsidR="00C756FB" w:rsidRDefault="00C756FB" w:rsidP="00F46AF5">
      <w:pPr>
        <w:pStyle w:val="Default"/>
        <w:numPr>
          <w:ilvl w:val="1"/>
          <w:numId w:val="1"/>
        </w:numPr>
        <w:spacing w:before="240" w:after="80"/>
        <w:ind w:left="700" w:hanging="410"/>
        <w:jc w:val="both"/>
        <w:rPr>
          <w:bCs/>
          <w:sz w:val="22"/>
          <w:szCs w:val="22"/>
        </w:rPr>
      </w:pPr>
      <w:r>
        <w:rPr>
          <w:bCs/>
          <w:sz w:val="22"/>
          <w:szCs w:val="22"/>
        </w:rPr>
        <w:t>Sugieren aclarar</w:t>
      </w:r>
      <w:r w:rsidR="00577900">
        <w:rPr>
          <w:bCs/>
          <w:sz w:val="22"/>
          <w:szCs w:val="22"/>
        </w:rPr>
        <w:t xml:space="preserve"> si </w:t>
      </w:r>
      <w:r>
        <w:rPr>
          <w:bCs/>
          <w:sz w:val="22"/>
          <w:szCs w:val="22"/>
        </w:rPr>
        <w:t xml:space="preserve">es posible </w:t>
      </w:r>
      <w:r w:rsidR="00577900">
        <w:rPr>
          <w:bCs/>
          <w:sz w:val="22"/>
          <w:szCs w:val="22"/>
        </w:rPr>
        <w:t>considerar</w:t>
      </w:r>
      <w:r>
        <w:rPr>
          <w:bCs/>
          <w:sz w:val="22"/>
          <w:szCs w:val="22"/>
        </w:rPr>
        <w:t xml:space="preserve"> los pagos en efectivo comprobables con recibo de nómina, como parte del 35% de los recursos que pueden destinarse al pago de CAN</w:t>
      </w:r>
      <w:r w:rsidR="00577900">
        <w:rPr>
          <w:bCs/>
          <w:sz w:val="22"/>
          <w:szCs w:val="22"/>
        </w:rPr>
        <w:t xml:space="preserve">. </w:t>
      </w:r>
    </w:p>
    <w:p w:rsidR="007408D8" w:rsidRDefault="007C0C0F" w:rsidP="00F46AF5">
      <w:pPr>
        <w:pStyle w:val="Default"/>
        <w:spacing w:after="80"/>
        <w:ind w:left="686" w:firstLine="14"/>
        <w:jc w:val="both"/>
        <w:rPr>
          <w:bCs/>
          <w:i/>
          <w:sz w:val="22"/>
          <w:szCs w:val="22"/>
        </w:rPr>
      </w:pPr>
      <w:r>
        <w:rPr>
          <w:b/>
          <w:color w:val="00B050"/>
          <w:sz w:val="22"/>
        </w:rPr>
        <w:t>Opinión</w:t>
      </w:r>
      <w:r w:rsidR="007408D8" w:rsidRPr="005E63C2">
        <w:rPr>
          <w:b/>
          <w:color w:val="00B050"/>
          <w:sz w:val="22"/>
        </w:rPr>
        <w:t xml:space="preserve"> del Banco de México</w:t>
      </w:r>
      <w:r w:rsidR="007408D8">
        <w:rPr>
          <w:bCs/>
          <w:i/>
          <w:sz w:val="22"/>
          <w:szCs w:val="22"/>
        </w:rPr>
        <w:t xml:space="preserve"> </w:t>
      </w:r>
    </w:p>
    <w:p w:rsidR="00577900" w:rsidRDefault="00523861" w:rsidP="00F46AF5">
      <w:pPr>
        <w:pStyle w:val="Default"/>
        <w:spacing w:after="80"/>
        <w:ind w:left="686" w:firstLine="14"/>
        <w:jc w:val="both"/>
        <w:rPr>
          <w:bCs/>
          <w:sz w:val="22"/>
          <w:szCs w:val="22"/>
        </w:rPr>
      </w:pPr>
      <w:r>
        <w:rPr>
          <w:bCs/>
          <w:i/>
          <w:sz w:val="22"/>
          <w:szCs w:val="22"/>
        </w:rPr>
        <w:t>Se aclara que no se considerarán los pagos en efectivo como parte del porcentaje de los recursos que pueden destinarse al pago del CAN</w:t>
      </w:r>
      <w:r w:rsidR="00C66F30">
        <w:rPr>
          <w:bCs/>
          <w:i/>
          <w:sz w:val="22"/>
          <w:szCs w:val="22"/>
        </w:rPr>
        <w:t xml:space="preserve"> </w:t>
      </w:r>
      <w:r w:rsidR="009D2E44">
        <w:rPr>
          <w:bCs/>
          <w:i/>
          <w:sz w:val="22"/>
          <w:szCs w:val="22"/>
        </w:rPr>
        <w:t>toda vez que</w:t>
      </w:r>
      <w:r>
        <w:rPr>
          <w:bCs/>
          <w:i/>
          <w:sz w:val="22"/>
          <w:szCs w:val="22"/>
        </w:rPr>
        <w:t xml:space="preserve"> incluir el efectivo </w:t>
      </w:r>
      <w:r w:rsidR="00C66F30">
        <w:rPr>
          <w:bCs/>
          <w:i/>
          <w:sz w:val="22"/>
          <w:szCs w:val="22"/>
        </w:rPr>
        <w:t xml:space="preserve">como fuente de pago </w:t>
      </w:r>
      <w:r w:rsidR="00222816">
        <w:rPr>
          <w:bCs/>
          <w:i/>
          <w:sz w:val="22"/>
          <w:szCs w:val="22"/>
        </w:rPr>
        <w:t xml:space="preserve">conlleva </w:t>
      </w:r>
      <w:r w:rsidR="00C66F30">
        <w:rPr>
          <w:bCs/>
          <w:i/>
          <w:sz w:val="22"/>
          <w:szCs w:val="22"/>
        </w:rPr>
        <w:t>una mayor complejidad oper</w:t>
      </w:r>
      <w:r w:rsidR="0073568B">
        <w:rPr>
          <w:bCs/>
          <w:i/>
          <w:sz w:val="22"/>
          <w:szCs w:val="22"/>
        </w:rPr>
        <w:t>a</w:t>
      </w:r>
      <w:r w:rsidR="00C66F30">
        <w:rPr>
          <w:bCs/>
          <w:i/>
          <w:sz w:val="22"/>
          <w:szCs w:val="22"/>
        </w:rPr>
        <w:t>tiva p</w:t>
      </w:r>
      <w:r w:rsidR="0073568B">
        <w:rPr>
          <w:bCs/>
          <w:i/>
          <w:sz w:val="22"/>
          <w:szCs w:val="22"/>
        </w:rPr>
        <w:t>a</w:t>
      </w:r>
      <w:r w:rsidR="00C66F30">
        <w:rPr>
          <w:bCs/>
          <w:i/>
          <w:sz w:val="22"/>
          <w:szCs w:val="22"/>
        </w:rPr>
        <w:t xml:space="preserve">ra asociar el monto de prestaciones laborales con los depósitos efectivamente hechos, adiciona </w:t>
      </w:r>
      <w:r w:rsidR="0073568B">
        <w:rPr>
          <w:bCs/>
          <w:i/>
          <w:sz w:val="22"/>
          <w:szCs w:val="22"/>
        </w:rPr>
        <w:t>un elemento de incertidumbre sobre la fuente de los recursos y resta promoción al uso de canales formales de transferencia de recursos entre cuentas</w:t>
      </w:r>
      <w:r w:rsidR="00222816">
        <w:rPr>
          <w:bCs/>
          <w:i/>
          <w:sz w:val="22"/>
          <w:szCs w:val="22"/>
        </w:rPr>
        <w:t>.</w:t>
      </w:r>
      <w:r w:rsidR="0059438F">
        <w:rPr>
          <w:bCs/>
          <w:i/>
          <w:sz w:val="22"/>
          <w:szCs w:val="22"/>
        </w:rPr>
        <w:t xml:space="preserve"> </w:t>
      </w:r>
      <w:r w:rsidR="00C1773F">
        <w:rPr>
          <w:bCs/>
          <w:i/>
          <w:sz w:val="22"/>
          <w:szCs w:val="22"/>
        </w:rPr>
        <w:t xml:space="preserve">Ver también sección 3 de este Reporte, respecto al porcentaje de tope de endeudamiento propuesto. </w:t>
      </w:r>
    </w:p>
    <w:p w:rsidR="00577900"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 a</w:t>
      </w:r>
      <w:r w:rsidR="0053134F" w:rsidRPr="007408D8">
        <w:rPr>
          <w:rFonts w:ascii="Cambria" w:eastAsiaTheme="majorEastAsia" w:hAnsi="Cambria" w:cstheme="majorBidi"/>
          <w:bCs w:val="0"/>
          <w:color w:val="365F91"/>
          <w:kern w:val="0"/>
          <w:sz w:val="26"/>
          <w:szCs w:val="26"/>
          <w:lang w:eastAsia="en-US"/>
        </w:rPr>
        <w:t>cerca de l</w:t>
      </w:r>
      <w:r w:rsidR="009F658A" w:rsidRPr="007408D8">
        <w:rPr>
          <w:rFonts w:ascii="Cambria" w:eastAsiaTheme="majorEastAsia" w:hAnsi="Cambria" w:cstheme="majorBidi"/>
          <w:bCs w:val="0"/>
          <w:color w:val="365F91"/>
          <w:kern w:val="0"/>
          <w:sz w:val="26"/>
          <w:szCs w:val="26"/>
          <w:lang w:eastAsia="en-US"/>
        </w:rPr>
        <w:t>a prelación de los créditos.</w:t>
      </w:r>
    </w:p>
    <w:p w:rsidR="005D07AE" w:rsidRPr="00BD4569" w:rsidRDefault="005D07AE" w:rsidP="00F46AF5">
      <w:pPr>
        <w:pStyle w:val="Default"/>
        <w:numPr>
          <w:ilvl w:val="1"/>
          <w:numId w:val="1"/>
        </w:numPr>
        <w:spacing w:before="240" w:after="80"/>
        <w:ind w:left="686" w:hanging="406"/>
        <w:jc w:val="both"/>
        <w:rPr>
          <w:bCs/>
          <w:sz w:val="22"/>
          <w:szCs w:val="22"/>
        </w:rPr>
      </w:pPr>
      <w:r w:rsidRPr="00BD4569">
        <w:rPr>
          <w:bCs/>
          <w:sz w:val="22"/>
          <w:szCs w:val="22"/>
        </w:rPr>
        <w:t xml:space="preserve">En relación a los distintos pagos que pueden ser domiciliados a una cuenta que tiene asociado al menos un crédito de nómina, </w:t>
      </w:r>
      <w:r w:rsidR="00864971">
        <w:rPr>
          <w:bCs/>
          <w:sz w:val="22"/>
          <w:szCs w:val="22"/>
        </w:rPr>
        <w:t>los participantes en la consulta expresan dudas</w:t>
      </w:r>
      <w:r w:rsidRPr="00BD4569">
        <w:rPr>
          <w:bCs/>
          <w:sz w:val="22"/>
          <w:szCs w:val="22"/>
        </w:rPr>
        <w:t xml:space="preserve"> respecto a la prelación que debe darse a </w:t>
      </w:r>
      <w:r w:rsidR="0029190C">
        <w:rPr>
          <w:bCs/>
          <w:sz w:val="22"/>
          <w:szCs w:val="22"/>
        </w:rPr>
        <w:t>distintos tipos de pagos</w:t>
      </w:r>
      <w:r w:rsidR="0073568B">
        <w:rPr>
          <w:bCs/>
          <w:sz w:val="22"/>
          <w:szCs w:val="22"/>
        </w:rPr>
        <w:t xml:space="preserve"> sobre la cuenta asociada</w:t>
      </w:r>
      <w:r w:rsidR="0029190C">
        <w:rPr>
          <w:bCs/>
          <w:sz w:val="22"/>
          <w:szCs w:val="22"/>
        </w:rPr>
        <w:t>, p</w:t>
      </w:r>
      <w:r w:rsidRPr="00BD4569">
        <w:rPr>
          <w:bCs/>
          <w:sz w:val="22"/>
          <w:szCs w:val="22"/>
        </w:rPr>
        <w:t xml:space="preserve">or ejemplo: </w:t>
      </w:r>
      <w:r w:rsidR="0029190C">
        <w:rPr>
          <w:bCs/>
          <w:sz w:val="22"/>
          <w:szCs w:val="22"/>
        </w:rPr>
        <w:t>p</w:t>
      </w:r>
      <w:r w:rsidRPr="00BD4569">
        <w:rPr>
          <w:bCs/>
          <w:sz w:val="22"/>
          <w:szCs w:val="22"/>
        </w:rPr>
        <w:t>agos domiciliados por servicios</w:t>
      </w:r>
      <w:r w:rsidR="0029190C">
        <w:rPr>
          <w:bCs/>
          <w:sz w:val="22"/>
          <w:szCs w:val="22"/>
        </w:rPr>
        <w:t>;</w:t>
      </w:r>
      <w:r w:rsidRPr="00BD4569">
        <w:rPr>
          <w:bCs/>
          <w:sz w:val="22"/>
          <w:szCs w:val="22"/>
        </w:rPr>
        <w:t xml:space="preserve"> </w:t>
      </w:r>
      <w:r w:rsidR="00E431D8" w:rsidRPr="00BD4569">
        <w:rPr>
          <w:bCs/>
          <w:sz w:val="22"/>
          <w:szCs w:val="22"/>
        </w:rPr>
        <w:t>p</w:t>
      </w:r>
      <w:r w:rsidRPr="00BD4569">
        <w:rPr>
          <w:bCs/>
          <w:sz w:val="22"/>
          <w:szCs w:val="22"/>
        </w:rPr>
        <w:t>agos domiciliados de créditos de n</w:t>
      </w:r>
      <w:r w:rsidR="00864971">
        <w:rPr>
          <w:bCs/>
          <w:sz w:val="22"/>
          <w:szCs w:val="22"/>
        </w:rPr>
        <w:t>ómina, hipotecario, o automotriz</w:t>
      </w:r>
      <w:r w:rsidR="0029190C">
        <w:rPr>
          <w:bCs/>
          <w:sz w:val="22"/>
          <w:szCs w:val="22"/>
        </w:rPr>
        <w:t xml:space="preserve">, </w:t>
      </w:r>
      <w:r w:rsidRPr="00BD4569">
        <w:rPr>
          <w:bCs/>
          <w:sz w:val="22"/>
          <w:szCs w:val="22"/>
        </w:rPr>
        <w:t>contratados antes y después</w:t>
      </w:r>
      <w:r w:rsidR="007A2675">
        <w:rPr>
          <w:bCs/>
          <w:sz w:val="22"/>
          <w:szCs w:val="22"/>
        </w:rPr>
        <w:t xml:space="preserve"> de la emisión de la regulación</w:t>
      </w:r>
      <w:r w:rsidRPr="00BD4569">
        <w:rPr>
          <w:bCs/>
          <w:sz w:val="22"/>
          <w:szCs w:val="22"/>
        </w:rPr>
        <w:t xml:space="preserve">; portabilidad de la nómina; </w:t>
      </w:r>
      <w:r w:rsidR="00E431D8" w:rsidRPr="00BD4569">
        <w:rPr>
          <w:bCs/>
          <w:sz w:val="22"/>
          <w:szCs w:val="22"/>
        </w:rPr>
        <w:t>d</w:t>
      </w:r>
      <w:r w:rsidRPr="00BD4569">
        <w:rPr>
          <w:bCs/>
          <w:sz w:val="22"/>
          <w:szCs w:val="22"/>
        </w:rPr>
        <w:t>esc</w:t>
      </w:r>
      <w:r w:rsidR="00864971">
        <w:rPr>
          <w:bCs/>
          <w:sz w:val="22"/>
          <w:szCs w:val="22"/>
        </w:rPr>
        <w:t>uentos establecidos en la</w:t>
      </w:r>
      <w:r w:rsidR="00540485">
        <w:rPr>
          <w:bCs/>
          <w:sz w:val="22"/>
          <w:szCs w:val="22"/>
        </w:rPr>
        <w:t xml:space="preserve">s disposiciones </w:t>
      </w:r>
      <w:r w:rsidRPr="00BD4569">
        <w:rPr>
          <w:bCs/>
          <w:sz w:val="22"/>
          <w:szCs w:val="22"/>
        </w:rPr>
        <w:t>laboral</w:t>
      </w:r>
      <w:r w:rsidR="00540485">
        <w:rPr>
          <w:bCs/>
          <w:sz w:val="22"/>
          <w:szCs w:val="22"/>
        </w:rPr>
        <w:t>es o en leyes de naturaleza</w:t>
      </w:r>
      <w:r w:rsidR="00EA2D09">
        <w:rPr>
          <w:bCs/>
          <w:sz w:val="22"/>
          <w:szCs w:val="22"/>
        </w:rPr>
        <w:t xml:space="preserve"> civil</w:t>
      </w:r>
      <w:r w:rsidR="007E359C">
        <w:rPr>
          <w:bCs/>
          <w:sz w:val="22"/>
          <w:szCs w:val="22"/>
        </w:rPr>
        <w:t>,</w:t>
      </w:r>
      <w:r w:rsidR="00EA2D09">
        <w:rPr>
          <w:bCs/>
          <w:sz w:val="22"/>
          <w:szCs w:val="22"/>
        </w:rPr>
        <w:t xml:space="preserve"> mercantil</w:t>
      </w:r>
      <w:r w:rsidR="007E359C">
        <w:rPr>
          <w:bCs/>
          <w:sz w:val="22"/>
          <w:szCs w:val="22"/>
        </w:rPr>
        <w:t>,</w:t>
      </w:r>
      <w:r w:rsidR="00EA2D09">
        <w:rPr>
          <w:bCs/>
          <w:sz w:val="22"/>
          <w:szCs w:val="22"/>
        </w:rPr>
        <w:t xml:space="preserve"> fiscal</w:t>
      </w:r>
      <w:r w:rsidR="007E359C">
        <w:rPr>
          <w:bCs/>
          <w:sz w:val="22"/>
          <w:szCs w:val="22"/>
        </w:rPr>
        <w:t>,</w:t>
      </w:r>
      <w:r w:rsidR="00EA2D09">
        <w:rPr>
          <w:bCs/>
          <w:sz w:val="22"/>
          <w:szCs w:val="22"/>
        </w:rPr>
        <w:t xml:space="preserve"> o laboral</w:t>
      </w:r>
      <w:r w:rsidR="007E359C">
        <w:rPr>
          <w:bCs/>
          <w:sz w:val="22"/>
          <w:szCs w:val="22"/>
        </w:rPr>
        <w:t>,</w:t>
      </w:r>
      <w:r w:rsidR="00EA2D09">
        <w:rPr>
          <w:bCs/>
          <w:sz w:val="22"/>
          <w:szCs w:val="22"/>
        </w:rPr>
        <w:t xml:space="preserve"> por ejemplo </w:t>
      </w:r>
      <w:r w:rsidR="007E359C">
        <w:rPr>
          <w:bCs/>
          <w:sz w:val="22"/>
          <w:szCs w:val="22"/>
        </w:rPr>
        <w:t xml:space="preserve">pensión </w:t>
      </w:r>
      <w:r w:rsidR="00EA2D09">
        <w:rPr>
          <w:bCs/>
          <w:sz w:val="22"/>
          <w:szCs w:val="22"/>
        </w:rPr>
        <w:t>alimenticia</w:t>
      </w:r>
      <w:r w:rsidRPr="00BD4569">
        <w:rPr>
          <w:bCs/>
          <w:sz w:val="22"/>
          <w:szCs w:val="22"/>
        </w:rPr>
        <w:t>.</w:t>
      </w:r>
    </w:p>
    <w:p w:rsidR="00F22CD5" w:rsidRDefault="007C0C0F" w:rsidP="00966418">
      <w:pPr>
        <w:pStyle w:val="Default"/>
        <w:spacing w:after="80"/>
        <w:ind w:left="708"/>
        <w:jc w:val="both"/>
        <w:rPr>
          <w:bCs/>
          <w:i/>
          <w:sz w:val="22"/>
          <w:szCs w:val="22"/>
        </w:rPr>
      </w:pPr>
      <w:r>
        <w:rPr>
          <w:b/>
          <w:color w:val="00B050"/>
          <w:sz w:val="22"/>
        </w:rPr>
        <w:t>Opinión</w:t>
      </w:r>
      <w:r w:rsidR="00F22CD5" w:rsidRPr="005E63C2">
        <w:rPr>
          <w:b/>
          <w:color w:val="00B050"/>
          <w:sz w:val="22"/>
        </w:rPr>
        <w:t xml:space="preserve"> del Banco de México</w:t>
      </w:r>
    </w:p>
    <w:p w:rsidR="005D07AE" w:rsidRDefault="005D07AE" w:rsidP="00966418">
      <w:pPr>
        <w:pStyle w:val="Default"/>
        <w:spacing w:after="80"/>
        <w:ind w:left="708"/>
        <w:jc w:val="both"/>
        <w:rPr>
          <w:bCs/>
          <w:i/>
          <w:sz w:val="22"/>
          <w:szCs w:val="22"/>
        </w:rPr>
      </w:pPr>
      <w:r w:rsidRPr="00577900">
        <w:rPr>
          <w:bCs/>
          <w:i/>
          <w:sz w:val="22"/>
          <w:szCs w:val="22"/>
        </w:rPr>
        <w:t xml:space="preserve">Se aclara que </w:t>
      </w:r>
      <w:r w:rsidR="00540485">
        <w:rPr>
          <w:bCs/>
          <w:i/>
          <w:sz w:val="22"/>
          <w:szCs w:val="22"/>
        </w:rPr>
        <w:t xml:space="preserve">entre </w:t>
      </w:r>
      <w:r w:rsidR="00E3346C">
        <w:rPr>
          <w:bCs/>
          <w:i/>
          <w:sz w:val="22"/>
          <w:szCs w:val="22"/>
        </w:rPr>
        <w:t>C</w:t>
      </w:r>
      <w:r w:rsidR="006E70BC">
        <w:rPr>
          <w:bCs/>
          <w:i/>
          <w:sz w:val="22"/>
          <w:szCs w:val="22"/>
        </w:rPr>
        <w:t>AN</w:t>
      </w:r>
      <w:r w:rsidR="00B61430">
        <w:rPr>
          <w:bCs/>
          <w:i/>
          <w:sz w:val="22"/>
          <w:szCs w:val="22"/>
        </w:rPr>
        <w:t xml:space="preserve"> </w:t>
      </w:r>
      <w:r w:rsidR="00540485">
        <w:rPr>
          <w:bCs/>
          <w:i/>
          <w:sz w:val="22"/>
          <w:szCs w:val="22"/>
        </w:rPr>
        <w:t xml:space="preserve">tendrá prelación </w:t>
      </w:r>
      <w:r w:rsidR="0073568B">
        <w:rPr>
          <w:bCs/>
          <w:i/>
          <w:sz w:val="22"/>
          <w:szCs w:val="22"/>
        </w:rPr>
        <w:t xml:space="preserve">de pago </w:t>
      </w:r>
      <w:r w:rsidR="00540485">
        <w:rPr>
          <w:bCs/>
          <w:i/>
          <w:sz w:val="22"/>
          <w:szCs w:val="22"/>
        </w:rPr>
        <w:t>el crédito que se haya designado primero con tal carácter</w:t>
      </w:r>
      <w:r w:rsidR="00B91B2D">
        <w:rPr>
          <w:bCs/>
          <w:i/>
          <w:sz w:val="22"/>
          <w:szCs w:val="22"/>
        </w:rPr>
        <w:t xml:space="preserve"> (</w:t>
      </w:r>
      <w:r w:rsidR="00B91B2D" w:rsidRPr="00B91B2D">
        <w:rPr>
          <w:bCs/>
          <w:i/>
          <w:sz w:val="22"/>
          <w:szCs w:val="22"/>
        </w:rPr>
        <w:t>artículo 22 Bis</w:t>
      </w:r>
      <w:r w:rsidR="00222547">
        <w:rPr>
          <w:bCs/>
          <w:i/>
          <w:sz w:val="22"/>
          <w:szCs w:val="22"/>
        </w:rPr>
        <w:t xml:space="preserve"> </w:t>
      </w:r>
      <w:r w:rsidR="00B91B2D" w:rsidRPr="00B91B2D">
        <w:rPr>
          <w:bCs/>
          <w:i/>
          <w:sz w:val="22"/>
          <w:szCs w:val="22"/>
        </w:rPr>
        <w:t>1, fracción I, inciso e</w:t>
      </w:r>
      <w:r w:rsidR="00222547">
        <w:rPr>
          <w:bCs/>
          <w:i/>
          <w:sz w:val="22"/>
          <w:szCs w:val="22"/>
        </w:rPr>
        <w:t>)</w:t>
      </w:r>
      <w:r w:rsidR="00B91B2D">
        <w:rPr>
          <w:bCs/>
          <w:i/>
          <w:sz w:val="22"/>
          <w:szCs w:val="22"/>
        </w:rPr>
        <w:t>, subinciso i</w:t>
      </w:r>
      <w:r w:rsidR="00B91B2D" w:rsidRPr="00B91B2D">
        <w:rPr>
          <w:bCs/>
          <w:i/>
          <w:sz w:val="22"/>
          <w:szCs w:val="22"/>
        </w:rPr>
        <w:t>)</w:t>
      </w:r>
      <w:r w:rsidR="007E359C">
        <w:rPr>
          <w:bCs/>
          <w:i/>
          <w:sz w:val="22"/>
          <w:szCs w:val="22"/>
        </w:rPr>
        <w:t>)</w:t>
      </w:r>
      <w:r w:rsidR="00B61430" w:rsidRPr="00E431D8">
        <w:rPr>
          <w:bCs/>
          <w:i/>
          <w:sz w:val="22"/>
          <w:szCs w:val="22"/>
        </w:rPr>
        <w:t>.</w:t>
      </w:r>
      <w:r w:rsidR="00540485">
        <w:rPr>
          <w:bCs/>
          <w:i/>
          <w:sz w:val="22"/>
          <w:szCs w:val="22"/>
        </w:rPr>
        <w:t xml:space="preserve"> </w:t>
      </w:r>
      <w:r w:rsidR="00753474">
        <w:rPr>
          <w:bCs/>
          <w:i/>
          <w:sz w:val="22"/>
          <w:szCs w:val="22"/>
        </w:rPr>
        <w:t>Por otro lado</w:t>
      </w:r>
      <w:r w:rsidR="00540485">
        <w:rPr>
          <w:bCs/>
          <w:i/>
          <w:sz w:val="22"/>
          <w:szCs w:val="22"/>
        </w:rPr>
        <w:t xml:space="preserve">, </w:t>
      </w:r>
      <w:r w:rsidR="00E431D8" w:rsidRPr="00E431D8">
        <w:rPr>
          <w:bCs/>
          <w:i/>
          <w:sz w:val="22"/>
          <w:szCs w:val="22"/>
        </w:rPr>
        <w:t>con el fin de mejora</w:t>
      </w:r>
      <w:r w:rsidR="00540485">
        <w:rPr>
          <w:bCs/>
          <w:i/>
          <w:sz w:val="22"/>
          <w:szCs w:val="22"/>
        </w:rPr>
        <w:t>r</w:t>
      </w:r>
      <w:r w:rsidR="00E431D8" w:rsidRPr="00E431D8">
        <w:rPr>
          <w:bCs/>
          <w:i/>
          <w:sz w:val="22"/>
          <w:szCs w:val="22"/>
        </w:rPr>
        <w:t xml:space="preserve"> la oferta de crédito a los clientes</w:t>
      </w:r>
      <w:r w:rsidR="00540485">
        <w:rPr>
          <w:bCs/>
          <w:i/>
          <w:sz w:val="22"/>
          <w:szCs w:val="22"/>
        </w:rPr>
        <w:t>,</w:t>
      </w:r>
      <w:r w:rsidR="00E431D8" w:rsidRPr="00E431D8">
        <w:rPr>
          <w:bCs/>
          <w:i/>
          <w:sz w:val="22"/>
          <w:szCs w:val="22"/>
        </w:rPr>
        <w:t xml:space="preserve"> </w:t>
      </w:r>
      <w:r w:rsidR="00540485">
        <w:rPr>
          <w:bCs/>
          <w:i/>
          <w:sz w:val="22"/>
          <w:szCs w:val="22"/>
        </w:rPr>
        <w:t xml:space="preserve">los CAN deberán </w:t>
      </w:r>
      <w:r w:rsidR="0073568B">
        <w:rPr>
          <w:bCs/>
          <w:i/>
          <w:sz w:val="22"/>
          <w:szCs w:val="22"/>
        </w:rPr>
        <w:t>pagarse</w:t>
      </w:r>
      <w:r w:rsidR="00540485">
        <w:rPr>
          <w:bCs/>
          <w:i/>
          <w:sz w:val="22"/>
          <w:szCs w:val="22"/>
        </w:rPr>
        <w:t xml:space="preserve"> con anterioridad </w:t>
      </w:r>
      <w:r w:rsidR="007F6589" w:rsidRPr="00E3346C">
        <w:rPr>
          <w:bCs/>
          <w:i/>
          <w:sz w:val="22"/>
          <w:szCs w:val="22"/>
        </w:rPr>
        <w:t xml:space="preserve">a </w:t>
      </w:r>
      <w:r w:rsidR="00CE7797">
        <w:rPr>
          <w:bCs/>
          <w:i/>
          <w:sz w:val="22"/>
          <w:szCs w:val="22"/>
        </w:rPr>
        <w:t xml:space="preserve">los créditos que la </w:t>
      </w:r>
      <w:r w:rsidR="00CE7797" w:rsidRPr="00E431D8">
        <w:rPr>
          <w:bCs/>
          <w:i/>
          <w:sz w:val="22"/>
          <w:szCs w:val="22"/>
        </w:rPr>
        <w:t xml:space="preserve">Institución </w:t>
      </w:r>
      <w:r w:rsidR="00CE7797">
        <w:rPr>
          <w:bCs/>
          <w:i/>
          <w:sz w:val="22"/>
          <w:szCs w:val="22"/>
        </w:rPr>
        <w:t>o</w:t>
      </w:r>
      <w:r w:rsidR="00CE7797" w:rsidRPr="00E431D8">
        <w:rPr>
          <w:bCs/>
          <w:i/>
          <w:sz w:val="22"/>
          <w:szCs w:val="22"/>
        </w:rPr>
        <w:t xml:space="preserve">rdenante </w:t>
      </w:r>
      <w:r w:rsidR="00CE7797">
        <w:rPr>
          <w:bCs/>
          <w:i/>
          <w:sz w:val="22"/>
          <w:szCs w:val="22"/>
        </w:rPr>
        <w:t>haya</w:t>
      </w:r>
      <w:r w:rsidR="00CE7797" w:rsidRPr="00E431D8">
        <w:rPr>
          <w:bCs/>
          <w:i/>
          <w:sz w:val="22"/>
          <w:szCs w:val="22"/>
        </w:rPr>
        <w:t xml:space="preserve"> otorgado</w:t>
      </w:r>
      <w:r w:rsidR="00966418">
        <w:rPr>
          <w:bCs/>
          <w:i/>
          <w:sz w:val="22"/>
          <w:szCs w:val="22"/>
        </w:rPr>
        <w:t xml:space="preserve"> y no denominado como CAN</w:t>
      </w:r>
      <w:r w:rsidR="0059438F">
        <w:rPr>
          <w:bCs/>
          <w:i/>
          <w:sz w:val="22"/>
          <w:szCs w:val="22"/>
        </w:rPr>
        <w:t xml:space="preserve"> </w:t>
      </w:r>
      <w:r w:rsidR="003742C8">
        <w:rPr>
          <w:bCs/>
          <w:i/>
          <w:sz w:val="22"/>
          <w:szCs w:val="22"/>
        </w:rPr>
        <w:t>(</w:t>
      </w:r>
      <w:r w:rsidR="003742C8" w:rsidRPr="003742C8">
        <w:rPr>
          <w:bCs/>
          <w:i/>
          <w:sz w:val="22"/>
          <w:szCs w:val="22"/>
        </w:rPr>
        <w:t>artículo 22 Bis</w:t>
      </w:r>
      <w:r w:rsidR="0086431D">
        <w:rPr>
          <w:bCs/>
          <w:i/>
          <w:sz w:val="22"/>
          <w:szCs w:val="22"/>
        </w:rPr>
        <w:t xml:space="preserve"> </w:t>
      </w:r>
      <w:r w:rsidR="003742C8" w:rsidRPr="003742C8">
        <w:rPr>
          <w:bCs/>
          <w:i/>
          <w:sz w:val="22"/>
          <w:szCs w:val="22"/>
        </w:rPr>
        <w:t xml:space="preserve">1, fracción I, inciso </w:t>
      </w:r>
      <w:r w:rsidR="003742C8">
        <w:rPr>
          <w:bCs/>
          <w:i/>
          <w:sz w:val="22"/>
          <w:szCs w:val="22"/>
        </w:rPr>
        <w:t>e</w:t>
      </w:r>
      <w:r w:rsidR="00E049D8">
        <w:rPr>
          <w:bCs/>
          <w:i/>
          <w:sz w:val="22"/>
          <w:szCs w:val="22"/>
        </w:rPr>
        <w:t>), subinciso ii)</w:t>
      </w:r>
      <w:r w:rsidR="003742C8" w:rsidRPr="003742C8">
        <w:rPr>
          <w:bCs/>
          <w:i/>
          <w:sz w:val="22"/>
          <w:szCs w:val="22"/>
        </w:rPr>
        <w:t>)</w:t>
      </w:r>
      <w:r w:rsidR="00CE7797">
        <w:rPr>
          <w:bCs/>
          <w:i/>
          <w:sz w:val="22"/>
          <w:szCs w:val="22"/>
        </w:rPr>
        <w:t xml:space="preserve">. </w:t>
      </w:r>
      <w:r w:rsidR="007A2675" w:rsidRPr="00E3346C">
        <w:rPr>
          <w:bCs/>
          <w:i/>
          <w:sz w:val="22"/>
          <w:szCs w:val="22"/>
        </w:rPr>
        <w:t xml:space="preserve">En todo caso la propuesta permite que la Institución Ordenante otorgue al cliente un nuevo crédito para pagar un CAN anterior y se subrogue en la prelación de cobro del CAN liquidado. </w:t>
      </w:r>
      <w:r w:rsidR="0073568B">
        <w:rPr>
          <w:bCs/>
          <w:i/>
          <w:sz w:val="22"/>
          <w:szCs w:val="22"/>
        </w:rPr>
        <w:t xml:space="preserve">Para permitir esta posibilidad se establece </w:t>
      </w:r>
      <w:r w:rsidR="003742C8">
        <w:rPr>
          <w:bCs/>
          <w:i/>
          <w:sz w:val="22"/>
          <w:szCs w:val="22"/>
        </w:rPr>
        <w:t xml:space="preserve">en </w:t>
      </w:r>
      <w:r w:rsidR="0073568B">
        <w:rPr>
          <w:bCs/>
          <w:i/>
          <w:sz w:val="22"/>
          <w:szCs w:val="22"/>
        </w:rPr>
        <w:t>un artículo transitorio un plazo de dos meses</w:t>
      </w:r>
      <w:r w:rsidR="0059438F">
        <w:rPr>
          <w:bCs/>
          <w:i/>
          <w:sz w:val="22"/>
          <w:szCs w:val="22"/>
        </w:rPr>
        <w:t xml:space="preserve">, contado a partir de la entrada en vigor de la Circular, </w:t>
      </w:r>
      <w:r w:rsidR="0073568B">
        <w:rPr>
          <w:bCs/>
          <w:i/>
          <w:sz w:val="22"/>
          <w:szCs w:val="22"/>
        </w:rPr>
        <w:t>para que dicho proceso de oferta y, en su caso, asociación de créditos otorgados con anterioridad tenga lugar</w:t>
      </w:r>
      <w:r w:rsidR="00B91B2D">
        <w:rPr>
          <w:bCs/>
          <w:i/>
          <w:sz w:val="22"/>
          <w:szCs w:val="22"/>
        </w:rPr>
        <w:t xml:space="preserve"> (artículo Tercero Transitorio)</w:t>
      </w:r>
      <w:r w:rsidR="0073568B">
        <w:rPr>
          <w:bCs/>
          <w:i/>
          <w:sz w:val="22"/>
          <w:szCs w:val="22"/>
        </w:rPr>
        <w:t xml:space="preserve">. </w:t>
      </w:r>
      <w:r w:rsidR="0059438F">
        <w:rPr>
          <w:bCs/>
          <w:i/>
          <w:sz w:val="22"/>
          <w:szCs w:val="22"/>
        </w:rPr>
        <w:t>Asimismo</w:t>
      </w:r>
      <w:r w:rsidR="00E408C4">
        <w:rPr>
          <w:bCs/>
          <w:i/>
          <w:sz w:val="22"/>
          <w:szCs w:val="22"/>
        </w:rPr>
        <w:t>,</w:t>
      </w:r>
      <w:r w:rsidR="00CE7797">
        <w:rPr>
          <w:bCs/>
          <w:i/>
          <w:sz w:val="22"/>
          <w:szCs w:val="22"/>
        </w:rPr>
        <w:t xml:space="preserve"> se </w:t>
      </w:r>
      <w:r w:rsidR="0073568B">
        <w:rPr>
          <w:bCs/>
          <w:i/>
          <w:sz w:val="22"/>
          <w:szCs w:val="22"/>
        </w:rPr>
        <w:t>aclara</w:t>
      </w:r>
      <w:r w:rsidR="00CE7797">
        <w:rPr>
          <w:bCs/>
          <w:i/>
          <w:sz w:val="22"/>
          <w:szCs w:val="22"/>
        </w:rPr>
        <w:t xml:space="preserve"> que el cobro de los CAN se realiza con prelación a </w:t>
      </w:r>
      <w:r w:rsidR="007F6589" w:rsidRPr="00E3346C">
        <w:rPr>
          <w:bCs/>
          <w:i/>
          <w:sz w:val="22"/>
          <w:szCs w:val="22"/>
        </w:rPr>
        <w:t xml:space="preserve">la portabilidad de la nómina, </w:t>
      </w:r>
      <w:r w:rsidR="00540485">
        <w:rPr>
          <w:bCs/>
          <w:i/>
          <w:sz w:val="22"/>
          <w:szCs w:val="22"/>
        </w:rPr>
        <w:t>o al pago de bienes, servicios o créditos domiciliados</w:t>
      </w:r>
      <w:r w:rsidR="00B91B2D">
        <w:rPr>
          <w:bCs/>
          <w:i/>
          <w:sz w:val="22"/>
          <w:szCs w:val="22"/>
        </w:rPr>
        <w:t xml:space="preserve"> (artículo</w:t>
      </w:r>
      <w:r w:rsidR="007C23BA">
        <w:rPr>
          <w:bCs/>
          <w:i/>
          <w:sz w:val="22"/>
          <w:szCs w:val="22"/>
        </w:rPr>
        <w:t>s</w:t>
      </w:r>
      <w:r w:rsidR="00B91B2D">
        <w:rPr>
          <w:bCs/>
          <w:i/>
          <w:sz w:val="22"/>
          <w:szCs w:val="22"/>
        </w:rPr>
        <w:t xml:space="preserve"> </w:t>
      </w:r>
      <w:r w:rsidR="00E049D8" w:rsidRPr="003742C8">
        <w:rPr>
          <w:bCs/>
          <w:i/>
          <w:sz w:val="22"/>
          <w:szCs w:val="22"/>
        </w:rPr>
        <w:t>22 Bis</w:t>
      </w:r>
      <w:r w:rsidR="00E049D8">
        <w:rPr>
          <w:bCs/>
          <w:i/>
          <w:sz w:val="22"/>
          <w:szCs w:val="22"/>
        </w:rPr>
        <w:t xml:space="preserve"> </w:t>
      </w:r>
      <w:r w:rsidR="00E049D8" w:rsidRPr="003742C8">
        <w:rPr>
          <w:bCs/>
          <w:i/>
          <w:sz w:val="22"/>
          <w:szCs w:val="22"/>
        </w:rPr>
        <w:t xml:space="preserve">1, fracción I, inciso </w:t>
      </w:r>
      <w:r w:rsidR="00E049D8">
        <w:rPr>
          <w:bCs/>
          <w:i/>
          <w:sz w:val="22"/>
          <w:szCs w:val="22"/>
        </w:rPr>
        <w:t xml:space="preserve">e, y </w:t>
      </w:r>
      <w:r w:rsidR="00B91B2D">
        <w:rPr>
          <w:bCs/>
          <w:i/>
          <w:sz w:val="22"/>
          <w:szCs w:val="22"/>
        </w:rPr>
        <w:t>75)</w:t>
      </w:r>
      <w:r w:rsidR="00E431D8" w:rsidRPr="00E431D8">
        <w:rPr>
          <w:bCs/>
          <w:i/>
          <w:sz w:val="22"/>
          <w:szCs w:val="22"/>
        </w:rPr>
        <w:t>.</w:t>
      </w:r>
    </w:p>
    <w:p w:rsidR="00E431D8" w:rsidRDefault="00E431D8" w:rsidP="00966418">
      <w:pPr>
        <w:spacing w:after="80"/>
        <w:ind w:left="708" w:firstLine="0"/>
        <w:rPr>
          <w:rFonts w:ascii="Calibri" w:hAnsi="Calibri" w:cs="Calibri"/>
          <w:bCs/>
          <w:i/>
          <w:color w:val="000000"/>
          <w:sz w:val="22"/>
          <w:szCs w:val="22"/>
        </w:rPr>
      </w:pPr>
      <w:r w:rsidRPr="00E3346C">
        <w:rPr>
          <w:rFonts w:ascii="Calibri" w:hAnsi="Calibri" w:cs="Calibri"/>
          <w:bCs/>
          <w:i/>
          <w:color w:val="000000"/>
          <w:sz w:val="22"/>
          <w:szCs w:val="22"/>
        </w:rPr>
        <w:lastRenderedPageBreak/>
        <w:t xml:space="preserve">Por </w:t>
      </w:r>
      <w:r w:rsidR="0073568B">
        <w:rPr>
          <w:rFonts w:ascii="Calibri" w:hAnsi="Calibri" w:cs="Calibri"/>
          <w:bCs/>
          <w:i/>
          <w:color w:val="000000"/>
          <w:sz w:val="22"/>
          <w:szCs w:val="22"/>
        </w:rPr>
        <w:t>último</w:t>
      </w:r>
      <w:r w:rsidRPr="00E3346C">
        <w:rPr>
          <w:rFonts w:ascii="Calibri" w:hAnsi="Calibri" w:cs="Calibri"/>
          <w:bCs/>
          <w:i/>
          <w:color w:val="000000"/>
          <w:sz w:val="22"/>
          <w:szCs w:val="22"/>
        </w:rPr>
        <w:t xml:space="preserve">, es importante señalar que las disposiciones objeto de la consulta no </w:t>
      </w:r>
      <w:r w:rsidR="00EB3531" w:rsidRPr="00E3346C">
        <w:rPr>
          <w:rFonts w:ascii="Calibri" w:hAnsi="Calibri" w:cs="Calibri"/>
          <w:bCs/>
          <w:i/>
          <w:color w:val="000000"/>
          <w:sz w:val="22"/>
          <w:szCs w:val="22"/>
        </w:rPr>
        <w:t xml:space="preserve">modifican </w:t>
      </w:r>
      <w:r w:rsidR="00EB3531" w:rsidRPr="00937AEB">
        <w:rPr>
          <w:rFonts w:ascii="Calibri" w:hAnsi="Calibri" w:cs="Calibri"/>
          <w:bCs/>
          <w:i/>
          <w:color w:val="000000"/>
          <w:sz w:val="22"/>
          <w:szCs w:val="22"/>
        </w:rPr>
        <w:t>la prelación</w:t>
      </w:r>
      <w:r w:rsidRPr="00937AEB">
        <w:rPr>
          <w:rFonts w:ascii="Calibri" w:hAnsi="Calibri" w:cs="Calibri"/>
          <w:bCs/>
          <w:i/>
          <w:color w:val="000000"/>
          <w:sz w:val="22"/>
          <w:szCs w:val="22"/>
        </w:rPr>
        <w:t xml:space="preserve"> </w:t>
      </w:r>
      <w:r w:rsidR="009D60F4" w:rsidRPr="00937AEB">
        <w:rPr>
          <w:rFonts w:ascii="Calibri" w:hAnsi="Calibri" w:cs="Calibri"/>
          <w:bCs/>
          <w:i/>
          <w:color w:val="000000"/>
          <w:sz w:val="22"/>
          <w:szCs w:val="22"/>
        </w:rPr>
        <w:t>establecida por la legislación</w:t>
      </w:r>
      <w:r w:rsidR="00523861">
        <w:rPr>
          <w:rFonts w:ascii="Calibri" w:hAnsi="Calibri" w:cs="Calibri"/>
          <w:bCs/>
          <w:i/>
          <w:color w:val="000000"/>
          <w:sz w:val="22"/>
          <w:szCs w:val="22"/>
        </w:rPr>
        <w:t>,</w:t>
      </w:r>
      <w:r w:rsidR="00937AEB" w:rsidRPr="0073568B">
        <w:rPr>
          <w:rFonts w:ascii="Calibri" w:hAnsi="Calibri" w:cs="Calibri"/>
          <w:bCs/>
          <w:i/>
          <w:color w:val="000000"/>
          <w:sz w:val="22"/>
          <w:szCs w:val="22"/>
        </w:rPr>
        <w:t xml:space="preserve"> por lo que</w:t>
      </w:r>
      <w:r w:rsidR="00523861" w:rsidRPr="0073568B">
        <w:rPr>
          <w:rFonts w:ascii="Calibri" w:hAnsi="Calibri" w:cs="Calibri"/>
          <w:bCs/>
          <w:i/>
          <w:color w:val="000000"/>
          <w:sz w:val="22"/>
          <w:szCs w:val="22"/>
        </w:rPr>
        <w:t>,</w:t>
      </w:r>
      <w:r w:rsidR="00937AEB" w:rsidRPr="0073568B">
        <w:rPr>
          <w:rFonts w:ascii="Calibri" w:hAnsi="Calibri" w:cs="Calibri"/>
          <w:bCs/>
          <w:i/>
          <w:color w:val="000000"/>
          <w:sz w:val="22"/>
          <w:szCs w:val="22"/>
        </w:rPr>
        <w:t xml:space="preserve"> descuentos como la pensión alimenticia</w:t>
      </w:r>
      <w:r w:rsidR="00523861" w:rsidRPr="0073568B">
        <w:rPr>
          <w:rFonts w:ascii="Calibri" w:hAnsi="Calibri" w:cs="Calibri"/>
          <w:bCs/>
          <w:i/>
          <w:color w:val="000000"/>
          <w:sz w:val="22"/>
          <w:szCs w:val="22"/>
        </w:rPr>
        <w:t>,</w:t>
      </w:r>
      <w:r w:rsidR="00937AEB" w:rsidRPr="0073568B">
        <w:rPr>
          <w:rFonts w:ascii="Calibri" w:hAnsi="Calibri" w:cs="Calibri"/>
          <w:bCs/>
          <w:i/>
          <w:color w:val="000000"/>
          <w:sz w:val="22"/>
          <w:szCs w:val="22"/>
        </w:rPr>
        <w:t xml:space="preserve"> tienen prioridad al ser descontados por el patrón previo al depósito de la nómina</w:t>
      </w:r>
      <w:r w:rsidR="0086431D">
        <w:rPr>
          <w:rFonts w:ascii="Calibri" w:hAnsi="Calibri" w:cs="Calibri"/>
          <w:bCs/>
          <w:i/>
          <w:color w:val="000000"/>
          <w:sz w:val="22"/>
          <w:szCs w:val="22"/>
        </w:rPr>
        <w:t xml:space="preserve"> </w:t>
      </w:r>
      <w:r w:rsidR="0086431D" w:rsidRPr="0086431D">
        <w:rPr>
          <w:rFonts w:ascii="Calibri" w:hAnsi="Calibri" w:cs="Calibri"/>
          <w:bCs/>
          <w:i/>
          <w:color w:val="000000"/>
          <w:sz w:val="22"/>
          <w:szCs w:val="22"/>
        </w:rPr>
        <w:t>(artículo 22 Bis 1, fracción I, inciso e))</w:t>
      </w:r>
      <w:r w:rsidR="00937AEB" w:rsidRPr="0073568B">
        <w:rPr>
          <w:rFonts w:ascii="Calibri" w:hAnsi="Calibri" w:cs="Calibri"/>
          <w:bCs/>
          <w:i/>
          <w:color w:val="000000"/>
          <w:sz w:val="22"/>
          <w:szCs w:val="22"/>
        </w:rPr>
        <w:t>.</w:t>
      </w:r>
    </w:p>
    <w:p w:rsidR="00577900"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w:t>
      </w:r>
      <w:r w:rsidR="00577900" w:rsidRPr="007408D8">
        <w:rPr>
          <w:rFonts w:ascii="Cambria" w:eastAsiaTheme="majorEastAsia" w:hAnsi="Cambria" w:cstheme="majorBidi"/>
          <w:bCs w:val="0"/>
          <w:color w:val="365F91"/>
          <w:kern w:val="0"/>
          <w:sz w:val="26"/>
          <w:szCs w:val="26"/>
          <w:lang w:eastAsia="en-US"/>
        </w:rPr>
        <w:t xml:space="preserve"> relacionados con el tope de endeuda</w:t>
      </w:r>
      <w:r w:rsidR="008F00FF" w:rsidRPr="007408D8">
        <w:rPr>
          <w:rFonts w:ascii="Cambria" w:eastAsiaTheme="majorEastAsia" w:hAnsi="Cambria" w:cstheme="majorBidi"/>
          <w:bCs w:val="0"/>
          <w:color w:val="365F91"/>
          <w:kern w:val="0"/>
          <w:sz w:val="26"/>
          <w:szCs w:val="26"/>
          <w:lang w:eastAsia="en-US"/>
        </w:rPr>
        <w:t>miento propuesto.</w:t>
      </w:r>
      <w:r w:rsidR="00577900" w:rsidRPr="007408D8">
        <w:rPr>
          <w:rFonts w:ascii="Cambria" w:eastAsiaTheme="majorEastAsia" w:hAnsi="Cambria" w:cstheme="majorBidi"/>
          <w:bCs w:val="0"/>
          <w:color w:val="365F91"/>
          <w:kern w:val="0"/>
          <w:sz w:val="26"/>
          <w:szCs w:val="26"/>
          <w:lang w:eastAsia="en-US"/>
        </w:rPr>
        <w:t xml:space="preserve"> </w:t>
      </w:r>
    </w:p>
    <w:p w:rsidR="00466D0B" w:rsidRPr="00BD4569" w:rsidRDefault="003D11B0" w:rsidP="00F46AF5">
      <w:pPr>
        <w:pStyle w:val="Default"/>
        <w:numPr>
          <w:ilvl w:val="1"/>
          <w:numId w:val="1"/>
        </w:numPr>
        <w:spacing w:before="240" w:after="80"/>
        <w:ind w:left="700" w:hanging="416"/>
        <w:jc w:val="both"/>
        <w:rPr>
          <w:bCs/>
          <w:sz w:val="22"/>
          <w:szCs w:val="22"/>
        </w:rPr>
      </w:pPr>
      <w:r w:rsidRPr="00BD4569">
        <w:rPr>
          <w:bCs/>
          <w:sz w:val="22"/>
          <w:szCs w:val="22"/>
        </w:rPr>
        <w:t xml:space="preserve">En relación al límite de 35% del monto promedio de los depósitos mensuales que establece el proyecto de disposiciones, se recibieron múltiples comentarios relacionados </w:t>
      </w:r>
      <w:r w:rsidR="0059438F">
        <w:rPr>
          <w:bCs/>
          <w:sz w:val="22"/>
          <w:szCs w:val="22"/>
        </w:rPr>
        <w:t>con</w:t>
      </w:r>
      <w:r w:rsidRPr="00BD4569">
        <w:rPr>
          <w:bCs/>
          <w:sz w:val="22"/>
          <w:szCs w:val="22"/>
        </w:rPr>
        <w:t xml:space="preserve"> posibles efectos adversos que pudieran llegar a causar políticas que buscan establecer límites a la capacidad de endeudamiento de la población </w:t>
      </w:r>
      <w:r w:rsidR="00607823" w:rsidRPr="00BD4569">
        <w:rPr>
          <w:bCs/>
          <w:sz w:val="22"/>
          <w:szCs w:val="22"/>
        </w:rPr>
        <w:t>así</w:t>
      </w:r>
      <w:r w:rsidRPr="00BD4569">
        <w:rPr>
          <w:bCs/>
          <w:sz w:val="22"/>
          <w:szCs w:val="22"/>
        </w:rPr>
        <w:t xml:space="preserve"> como diversas dudas operativas</w:t>
      </w:r>
      <w:r w:rsidRPr="00EB57F4">
        <w:rPr>
          <w:bCs/>
          <w:sz w:val="22"/>
          <w:vertAlign w:val="superscript"/>
        </w:rPr>
        <w:footnoteReference w:id="2"/>
      </w:r>
      <w:r w:rsidRPr="00BD4569">
        <w:rPr>
          <w:bCs/>
          <w:sz w:val="22"/>
          <w:szCs w:val="22"/>
        </w:rPr>
        <w:t xml:space="preserve">. </w:t>
      </w:r>
      <w:r w:rsidR="00466D0B" w:rsidRPr="00BD4569">
        <w:rPr>
          <w:bCs/>
          <w:sz w:val="22"/>
          <w:szCs w:val="22"/>
        </w:rPr>
        <w:t>Asimismo</w:t>
      </w:r>
      <w:r w:rsidR="009D60F4">
        <w:rPr>
          <w:bCs/>
          <w:sz w:val="22"/>
          <w:szCs w:val="22"/>
        </w:rPr>
        <w:t>,</w:t>
      </w:r>
      <w:r w:rsidR="00466D0B" w:rsidRPr="00BD4569">
        <w:rPr>
          <w:bCs/>
          <w:sz w:val="22"/>
          <w:szCs w:val="22"/>
        </w:rPr>
        <w:t xml:space="preserve"> </w:t>
      </w:r>
      <w:r w:rsidR="006E70BC">
        <w:rPr>
          <w:bCs/>
          <w:sz w:val="22"/>
          <w:szCs w:val="22"/>
        </w:rPr>
        <w:t>diversos</w:t>
      </w:r>
      <w:r w:rsidR="009D60F4">
        <w:rPr>
          <w:bCs/>
          <w:sz w:val="22"/>
          <w:szCs w:val="22"/>
        </w:rPr>
        <w:t xml:space="preserve"> participantes comentaron</w:t>
      </w:r>
      <w:r w:rsidR="00466D0B" w:rsidRPr="00BD4569">
        <w:rPr>
          <w:bCs/>
          <w:sz w:val="22"/>
          <w:szCs w:val="22"/>
        </w:rPr>
        <w:t xml:space="preserve"> acerca de la insuficiencia del límite en virtud de que actualmente los bancos utilizan como referencia el sueldo bruto como base y no el sueldo neto de impuestos.</w:t>
      </w:r>
    </w:p>
    <w:p w:rsidR="00F22CD5" w:rsidRDefault="007C0C0F" w:rsidP="00966418">
      <w:pPr>
        <w:spacing w:after="80"/>
        <w:ind w:left="708" w:firstLine="0"/>
        <w:rPr>
          <w:b/>
          <w:color w:val="00B050"/>
          <w:sz w:val="22"/>
        </w:rPr>
      </w:pPr>
      <w:r>
        <w:rPr>
          <w:b/>
          <w:color w:val="00B050"/>
          <w:sz w:val="22"/>
        </w:rPr>
        <w:t>Opinión</w:t>
      </w:r>
      <w:r w:rsidR="00F22CD5" w:rsidRPr="005E63C2">
        <w:rPr>
          <w:b/>
          <w:color w:val="00B050"/>
          <w:sz w:val="22"/>
        </w:rPr>
        <w:t xml:space="preserve"> del Banco de México</w:t>
      </w:r>
    </w:p>
    <w:p w:rsidR="00F41EE5" w:rsidRDefault="00A26AB4" w:rsidP="00966418">
      <w:pPr>
        <w:spacing w:after="80"/>
        <w:ind w:left="708" w:firstLine="0"/>
        <w:rPr>
          <w:i/>
          <w:iCs/>
          <w:sz w:val="22"/>
          <w:szCs w:val="22"/>
        </w:rPr>
      </w:pPr>
      <w:r>
        <w:rPr>
          <w:rFonts w:eastAsiaTheme="majorEastAsia"/>
          <w:i/>
          <w:sz w:val="22"/>
          <w:szCs w:val="22"/>
          <w:lang w:eastAsia="en-US"/>
        </w:rPr>
        <w:t>Se aclara que e</w:t>
      </w:r>
      <w:r w:rsidR="00B86459">
        <w:rPr>
          <w:i/>
          <w:iCs/>
          <w:sz w:val="22"/>
          <w:szCs w:val="22"/>
        </w:rPr>
        <w:t xml:space="preserve">l límite propuesto no representa un límite absoluto de endeudamiento de los hogares, sino un límite al porcentaje de las prestaciones laborales que pueden destinarse a los CAN. </w:t>
      </w:r>
      <w:r w:rsidR="00CC1A1B">
        <w:rPr>
          <w:i/>
          <w:iCs/>
          <w:sz w:val="22"/>
          <w:szCs w:val="22"/>
        </w:rPr>
        <w:t xml:space="preserve">Los acreditados podrán seguir contratando créditos por arriba del umbral propuesto, </w:t>
      </w:r>
      <w:r w:rsidR="00460B5B">
        <w:rPr>
          <w:i/>
          <w:iCs/>
          <w:sz w:val="22"/>
          <w:szCs w:val="22"/>
        </w:rPr>
        <w:t>pero</w:t>
      </w:r>
      <w:r w:rsidR="00CC1A1B">
        <w:rPr>
          <w:i/>
          <w:iCs/>
          <w:sz w:val="22"/>
          <w:szCs w:val="22"/>
        </w:rPr>
        <w:t xml:space="preserve"> no tendrán la posibilidad de asociar su pago a la respectiva cuenta receptora de prestaciones laborales. </w:t>
      </w:r>
      <w:r w:rsidR="00D67FE9">
        <w:rPr>
          <w:i/>
          <w:iCs/>
          <w:sz w:val="22"/>
          <w:szCs w:val="22"/>
        </w:rPr>
        <w:t>S</w:t>
      </w:r>
      <w:r w:rsidR="00CC1A1B">
        <w:rPr>
          <w:i/>
          <w:iCs/>
          <w:sz w:val="22"/>
          <w:szCs w:val="22"/>
        </w:rPr>
        <w:t>in embargo</w:t>
      </w:r>
      <w:r w:rsidR="009E77BA">
        <w:rPr>
          <w:i/>
          <w:iCs/>
          <w:sz w:val="22"/>
          <w:szCs w:val="22"/>
        </w:rPr>
        <w:t>,</w:t>
      </w:r>
      <w:r w:rsidR="00CC1A1B">
        <w:rPr>
          <w:i/>
          <w:iCs/>
          <w:sz w:val="22"/>
          <w:szCs w:val="22"/>
        </w:rPr>
        <w:t xml:space="preserve"> la evidencia estadística de atraso en pago apunta a que existe una correlación positiva entre el monto comprometido para el pago de deuda y el atraso en pago de los créditos contratados </w:t>
      </w:r>
      <w:r w:rsidR="0023400C">
        <w:rPr>
          <w:i/>
          <w:iCs/>
          <w:sz w:val="22"/>
          <w:szCs w:val="22"/>
        </w:rPr>
        <w:t xml:space="preserve">(gráfica 1) </w:t>
      </w:r>
      <w:r w:rsidR="00CC1A1B">
        <w:rPr>
          <w:i/>
          <w:iCs/>
          <w:sz w:val="22"/>
          <w:szCs w:val="22"/>
        </w:rPr>
        <w:t xml:space="preserve">por lo que se insiste en </w:t>
      </w:r>
      <w:r w:rsidR="009E77BA">
        <w:rPr>
          <w:i/>
          <w:iCs/>
          <w:sz w:val="22"/>
          <w:szCs w:val="22"/>
        </w:rPr>
        <w:t xml:space="preserve">que la norma fomente, así sea indirectamente, a </w:t>
      </w:r>
      <w:r w:rsidR="00CC1A1B">
        <w:rPr>
          <w:i/>
          <w:iCs/>
          <w:sz w:val="22"/>
          <w:szCs w:val="22"/>
        </w:rPr>
        <w:t xml:space="preserve">mantener en niveles moderados </w:t>
      </w:r>
      <w:r w:rsidR="009E77BA">
        <w:rPr>
          <w:i/>
          <w:iCs/>
          <w:sz w:val="22"/>
          <w:szCs w:val="22"/>
        </w:rPr>
        <w:t>el servicio de deuda como proporción del ingreso de la población.</w:t>
      </w:r>
      <w:r w:rsidR="00CC1A1B">
        <w:rPr>
          <w:i/>
          <w:iCs/>
          <w:sz w:val="22"/>
          <w:szCs w:val="22"/>
        </w:rPr>
        <w:t xml:space="preserve"> </w:t>
      </w:r>
    </w:p>
    <w:p w:rsidR="00460B5B" w:rsidRPr="00C1773F" w:rsidRDefault="00460B5B" w:rsidP="0023400C">
      <w:pPr>
        <w:spacing w:after="0"/>
        <w:ind w:firstLine="0"/>
        <w:jc w:val="center"/>
        <w:rPr>
          <w:iCs/>
          <w:sz w:val="22"/>
          <w:szCs w:val="22"/>
        </w:rPr>
      </w:pPr>
      <w:r w:rsidRPr="003B7720">
        <w:rPr>
          <w:rFonts w:eastAsiaTheme="majorEastAsia"/>
          <w:b/>
          <w:noProof/>
          <w:sz w:val="22"/>
          <w:lang w:val="en-US" w:eastAsia="en-US"/>
        </w:rPr>
        <w:t xml:space="preserve">Gráfica </w:t>
      </w:r>
      <w:r>
        <w:rPr>
          <w:rFonts w:eastAsiaTheme="majorEastAsia"/>
          <w:b/>
          <w:noProof/>
          <w:sz w:val="22"/>
          <w:lang w:val="en-US" w:eastAsia="en-US"/>
        </w:rPr>
        <w:t>1</w:t>
      </w:r>
    </w:p>
    <w:tbl>
      <w:tblPr>
        <w:tblStyle w:val="Tablaconcuadrcula"/>
        <w:tblW w:w="4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9"/>
      </w:tblGrid>
      <w:tr w:rsidR="00460B5B" w:rsidTr="00913CFD">
        <w:trPr>
          <w:trHeight w:val="3388"/>
          <w:jc w:val="center"/>
        </w:trPr>
        <w:tc>
          <w:tcPr>
            <w:tcW w:w="4209" w:type="dxa"/>
          </w:tcPr>
          <w:p w:rsidR="00460B5B" w:rsidRDefault="00460B5B" w:rsidP="00913CFD">
            <w:pPr>
              <w:spacing w:after="80"/>
              <w:ind w:firstLine="0"/>
              <w:jc w:val="left"/>
              <w:rPr>
                <w:rFonts w:eastAsiaTheme="majorEastAsia"/>
                <w:i/>
                <w:sz w:val="22"/>
                <w:szCs w:val="22"/>
                <w:lang w:eastAsia="en-US"/>
              </w:rPr>
            </w:pPr>
            <w:r w:rsidRPr="006F626E">
              <w:rPr>
                <w:rFonts w:eastAsiaTheme="majorEastAsia"/>
                <w:noProof/>
                <w:sz w:val="22"/>
                <w:szCs w:val="22"/>
                <w:lang w:val="en-US" w:eastAsia="en-US"/>
              </w:rPr>
              <w:lastRenderedPageBreak/>
              <w:drawing>
                <wp:inline distT="0" distB="0" distL="0" distR="0" wp14:anchorId="434A1CF8" wp14:editId="0D4627FF">
                  <wp:extent cx="2614930" cy="211409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171" cy="2118330"/>
                          </a:xfrm>
                          <a:prstGeom prst="rect">
                            <a:avLst/>
                          </a:prstGeom>
                          <a:noFill/>
                        </pic:spPr>
                      </pic:pic>
                    </a:graphicData>
                  </a:graphic>
                </wp:inline>
              </w:drawing>
            </w:r>
          </w:p>
        </w:tc>
      </w:tr>
    </w:tbl>
    <w:p w:rsidR="00460B5B" w:rsidRDefault="00460B5B" w:rsidP="00460B5B">
      <w:pPr>
        <w:spacing w:after="80"/>
        <w:ind w:left="561" w:firstLine="0"/>
        <w:rPr>
          <w:i/>
          <w:iCs/>
          <w:sz w:val="22"/>
          <w:szCs w:val="22"/>
        </w:rPr>
      </w:pPr>
      <w:r>
        <w:rPr>
          <w:i/>
          <w:iCs/>
          <w:sz w:val="22"/>
          <w:szCs w:val="22"/>
        </w:rPr>
        <w:t xml:space="preserve">Por otra parte respecto al umbral establecido, se puede observar en la gráfica 2 que el  pago </w:t>
      </w:r>
      <w:r w:rsidR="007E359C">
        <w:rPr>
          <w:i/>
          <w:iCs/>
          <w:sz w:val="22"/>
          <w:szCs w:val="22"/>
        </w:rPr>
        <w:t xml:space="preserve">como proporción del </w:t>
      </w:r>
      <w:r>
        <w:rPr>
          <w:i/>
          <w:iCs/>
          <w:sz w:val="22"/>
          <w:szCs w:val="22"/>
        </w:rPr>
        <w:t xml:space="preserve"> ingreso que los clientes con ingreso formal ocupan es</w:t>
      </w:r>
      <w:r w:rsidR="007E359C">
        <w:rPr>
          <w:i/>
          <w:iCs/>
          <w:sz w:val="22"/>
          <w:szCs w:val="22"/>
        </w:rPr>
        <w:t>,</w:t>
      </w:r>
      <w:r>
        <w:rPr>
          <w:i/>
          <w:iCs/>
          <w:sz w:val="22"/>
          <w:szCs w:val="22"/>
        </w:rPr>
        <w:t xml:space="preserve"> en promedio</w:t>
      </w:r>
      <w:r w:rsidR="007E359C">
        <w:rPr>
          <w:i/>
          <w:iCs/>
          <w:sz w:val="22"/>
          <w:szCs w:val="22"/>
        </w:rPr>
        <w:t>,</w:t>
      </w:r>
      <w:r>
        <w:rPr>
          <w:i/>
          <w:iCs/>
          <w:sz w:val="22"/>
          <w:szCs w:val="22"/>
        </w:rPr>
        <w:t xml:space="preserve"> inferior al 35% (con excepción del primer decil de ingreso de la población). Sin embargo si se consideran otros tipos de crédito el umbral, en promedio, se rebasa para los primeros 6 deciles de la población. </w:t>
      </w:r>
    </w:p>
    <w:p w:rsidR="003C38FD" w:rsidRPr="006B5F51" w:rsidRDefault="003C38FD" w:rsidP="0023400C">
      <w:pPr>
        <w:spacing w:after="0"/>
        <w:ind w:firstLine="0"/>
        <w:jc w:val="center"/>
        <w:rPr>
          <w:rFonts w:eastAsiaTheme="majorEastAsia"/>
          <w:b/>
          <w:noProof/>
          <w:sz w:val="22"/>
          <w:lang w:val="en-US" w:eastAsia="en-US"/>
        </w:rPr>
      </w:pPr>
      <w:r w:rsidRPr="006B5F51">
        <w:rPr>
          <w:rFonts w:eastAsiaTheme="majorEastAsia"/>
          <w:b/>
          <w:noProof/>
          <w:sz w:val="22"/>
          <w:lang w:val="en-US" w:eastAsia="en-US"/>
        </w:rPr>
        <w:t xml:space="preserve">Gráfica </w:t>
      </w:r>
      <w:r w:rsidR="00057692">
        <w:rPr>
          <w:rFonts w:eastAsiaTheme="majorEastAsia"/>
          <w:b/>
          <w:noProof/>
          <w:sz w:val="22"/>
          <w:lang w:val="en-US" w:eastAsia="en-US"/>
        </w:rPr>
        <w:t>2</w:t>
      </w:r>
    </w:p>
    <w:p w:rsidR="003B7720" w:rsidRDefault="003C38FD" w:rsidP="00F22CD5">
      <w:pPr>
        <w:spacing w:after="80"/>
        <w:ind w:left="567" w:firstLine="0"/>
        <w:jc w:val="center"/>
        <w:rPr>
          <w:rFonts w:eastAsiaTheme="majorEastAsia"/>
          <w:i/>
          <w:sz w:val="22"/>
          <w:szCs w:val="22"/>
          <w:lang w:eastAsia="en-US"/>
        </w:rPr>
      </w:pPr>
      <w:r w:rsidRPr="00316157">
        <w:rPr>
          <w:rFonts w:eastAsiaTheme="majorEastAsia"/>
          <w:noProof/>
          <w:lang w:val="en-US" w:eastAsia="en-US"/>
        </w:rPr>
        <w:drawing>
          <wp:inline distT="0" distB="0" distL="0" distR="0" wp14:anchorId="1E877CD7" wp14:editId="4ECD04EB">
            <wp:extent cx="4138930" cy="1914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962" b="2323"/>
                    <a:stretch/>
                  </pic:blipFill>
                  <pic:spPr bwMode="auto">
                    <a:xfrm>
                      <a:off x="0" y="0"/>
                      <a:ext cx="4183300" cy="1935049"/>
                    </a:xfrm>
                    <a:prstGeom prst="rect">
                      <a:avLst/>
                    </a:prstGeom>
                    <a:noFill/>
                    <a:ln>
                      <a:noFill/>
                    </a:ln>
                    <a:extLst>
                      <a:ext uri="{53640926-AAD7-44D8-BBD7-CCE9431645EC}">
                        <a14:shadowObscured xmlns:a14="http://schemas.microsoft.com/office/drawing/2010/main"/>
                      </a:ext>
                    </a:extLst>
                  </pic:spPr>
                </pic:pic>
              </a:graphicData>
            </a:graphic>
          </wp:inline>
        </w:drawing>
      </w:r>
    </w:p>
    <w:p w:rsidR="003C38FD" w:rsidRDefault="003C38FD" w:rsidP="0023400C">
      <w:pPr>
        <w:spacing w:after="0"/>
        <w:ind w:left="567" w:firstLine="0"/>
        <w:jc w:val="center"/>
        <w:rPr>
          <w:rFonts w:eastAsiaTheme="majorEastAsia"/>
          <w:i/>
          <w:sz w:val="22"/>
          <w:szCs w:val="22"/>
          <w:lang w:eastAsia="en-US"/>
        </w:rPr>
      </w:pPr>
      <w:r w:rsidRPr="006F626E">
        <w:rPr>
          <w:rFonts w:eastAsiaTheme="majorEastAsia"/>
          <w:noProof/>
          <w:sz w:val="22"/>
          <w:szCs w:val="22"/>
          <w:lang w:val="en-US" w:eastAsia="en-US"/>
        </w:rPr>
        <w:drawing>
          <wp:inline distT="0" distB="0" distL="0" distR="0" wp14:anchorId="2A4289C8" wp14:editId="55AC9266">
            <wp:extent cx="3694261" cy="404037"/>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185" cy="459697"/>
                    </a:xfrm>
                    <a:prstGeom prst="rect">
                      <a:avLst/>
                    </a:prstGeom>
                    <a:noFill/>
                  </pic:spPr>
                </pic:pic>
              </a:graphicData>
            </a:graphic>
          </wp:inline>
        </w:drawing>
      </w:r>
    </w:p>
    <w:p w:rsidR="003C38FD" w:rsidRPr="00626FB6" w:rsidRDefault="003C38FD" w:rsidP="0023400C">
      <w:pPr>
        <w:pStyle w:val="Default"/>
        <w:jc w:val="center"/>
        <w:rPr>
          <w:bCs/>
          <w:sz w:val="18"/>
          <w:szCs w:val="16"/>
        </w:rPr>
      </w:pPr>
      <w:r w:rsidRPr="00626FB6">
        <w:rPr>
          <w:bCs/>
          <w:sz w:val="18"/>
          <w:szCs w:val="16"/>
        </w:rPr>
        <w:t xml:space="preserve">Carga Financiera = Monto de </w:t>
      </w:r>
      <w:r>
        <w:rPr>
          <w:bCs/>
          <w:sz w:val="18"/>
          <w:szCs w:val="16"/>
        </w:rPr>
        <w:t xml:space="preserve">pago </w:t>
      </w:r>
      <w:r w:rsidRPr="00626FB6">
        <w:rPr>
          <w:bCs/>
          <w:sz w:val="18"/>
          <w:szCs w:val="16"/>
        </w:rPr>
        <w:t>mensual / (Salario mensual (IMSS)*0.65)</w:t>
      </w:r>
    </w:p>
    <w:p w:rsidR="00CD3AE0" w:rsidRPr="00414AB0" w:rsidRDefault="00CD3AE0" w:rsidP="00C1773F">
      <w:pPr>
        <w:spacing w:after="80"/>
        <w:ind w:left="708" w:firstLine="0"/>
        <w:rPr>
          <w:b/>
          <w:color w:val="00B050"/>
          <w:sz w:val="22"/>
        </w:rPr>
      </w:pPr>
      <w:r w:rsidRPr="00414AB0">
        <w:rPr>
          <w:b/>
          <w:color w:val="00B050"/>
          <w:sz w:val="22"/>
        </w:rPr>
        <w:t>Propuesta</w:t>
      </w:r>
    </w:p>
    <w:p w:rsidR="003C38FD" w:rsidRPr="009E77BA" w:rsidRDefault="009E77BA" w:rsidP="00C1773F">
      <w:pPr>
        <w:spacing w:after="80"/>
        <w:ind w:left="709" w:firstLine="0"/>
        <w:rPr>
          <w:i/>
          <w:iCs/>
          <w:sz w:val="22"/>
          <w:szCs w:val="22"/>
        </w:rPr>
      </w:pPr>
      <w:r>
        <w:rPr>
          <w:i/>
          <w:iCs/>
          <w:sz w:val="22"/>
          <w:szCs w:val="22"/>
        </w:rPr>
        <w:t xml:space="preserve">Considerando lo </w:t>
      </w:r>
      <w:r w:rsidR="00A26AB4" w:rsidRPr="00BA3473">
        <w:rPr>
          <w:i/>
          <w:iCs/>
          <w:sz w:val="22"/>
          <w:szCs w:val="22"/>
        </w:rPr>
        <w:t>anterior</w:t>
      </w:r>
      <w:r>
        <w:rPr>
          <w:i/>
          <w:iCs/>
          <w:sz w:val="22"/>
          <w:szCs w:val="22"/>
        </w:rPr>
        <w:t xml:space="preserve"> y el hecho de que el </w:t>
      </w:r>
      <w:r w:rsidR="00CC1A1B">
        <w:rPr>
          <w:i/>
          <w:iCs/>
          <w:sz w:val="22"/>
          <w:szCs w:val="22"/>
        </w:rPr>
        <w:t xml:space="preserve">endeudamiento </w:t>
      </w:r>
      <w:r>
        <w:rPr>
          <w:i/>
          <w:iCs/>
          <w:sz w:val="22"/>
          <w:szCs w:val="22"/>
        </w:rPr>
        <w:t xml:space="preserve">asociado a la nómina promoverá créditos en mejores condiciones para los usuarios </w:t>
      </w:r>
      <w:r w:rsidR="003C38FD" w:rsidRPr="00BA3473">
        <w:rPr>
          <w:i/>
          <w:iCs/>
          <w:sz w:val="22"/>
          <w:szCs w:val="22"/>
        </w:rPr>
        <w:t xml:space="preserve">se </w:t>
      </w:r>
      <w:r w:rsidR="003C38FD">
        <w:rPr>
          <w:i/>
          <w:iCs/>
          <w:sz w:val="22"/>
          <w:szCs w:val="22"/>
        </w:rPr>
        <w:t xml:space="preserve">ha </w:t>
      </w:r>
      <w:r w:rsidR="00057692">
        <w:rPr>
          <w:i/>
          <w:iCs/>
          <w:sz w:val="22"/>
          <w:szCs w:val="22"/>
        </w:rPr>
        <w:t xml:space="preserve">considerado la posibilidad de </w:t>
      </w:r>
      <w:r w:rsidR="003C38FD">
        <w:rPr>
          <w:i/>
          <w:iCs/>
          <w:sz w:val="22"/>
          <w:szCs w:val="22"/>
        </w:rPr>
        <w:t xml:space="preserve">modificar el proyecto de disposiciones </w:t>
      </w:r>
      <w:r>
        <w:rPr>
          <w:i/>
          <w:iCs/>
          <w:sz w:val="22"/>
          <w:szCs w:val="22"/>
        </w:rPr>
        <w:t>con el fin de</w:t>
      </w:r>
      <w:r w:rsidR="0081703D">
        <w:rPr>
          <w:i/>
          <w:iCs/>
          <w:sz w:val="22"/>
          <w:szCs w:val="22"/>
        </w:rPr>
        <w:t xml:space="preserve"> </w:t>
      </w:r>
      <w:r w:rsidR="003C38FD">
        <w:rPr>
          <w:i/>
          <w:iCs/>
          <w:sz w:val="22"/>
          <w:szCs w:val="22"/>
        </w:rPr>
        <w:t>aumentar</w:t>
      </w:r>
      <w:r w:rsidR="003C38FD" w:rsidRPr="00BA3473">
        <w:rPr>
          <w:i/>
          <w:iCs/>
          <w:sz w:val="22"/>
          <w:szCs w:val="22"/>
        </w:rPr>
        <w:t xml:space="preserve"> el límite propuesto </w:t>
      </w:r>
      <w:r w:rsidR="00057692">
        <w:rPr>
          <w:i/>
          <w:iCs/>
          <w:sz w:val="22"/>
          <w:szCs w:val="22"/>
        </w:rPr>
        <w:t xml:space="preserve">entre el 35% y el </w:t>
      </w:r>
      <w:r w:rsidR="00057692" w:rsidRPr="00BA3473">
        <w:rPr>
          <w:i/>
          <w:iCs/>
          <w:sz w:val="22"/>
          <w:szCs w:val="22"/>
        </w:rPr>
        <w:t xml:space="preserve"> </w:t>
      </w:r>
      <w:r w:rsidR="003C38FD" w:rsidRPr="00BA3473">
        <w:rPr>
          <w:i/>
          <w:iCs/>
          <w:sz w:val="22"/>
          <w:szCs w:val="22"/>
        </w:rPr>
        <w:t>40%</w:t>
      </w:r>
      <w:r w:rsidR="00B91B2D">
        <w:rPr>
          <w:i/>
          <w:iCs/>
          <w:sz w:val="22"/>
          <w:szCs w:val="22"/>
        </w:rPr>
        <w:t xml:space="preserve"> (artículo 22 Bis1, fracción I, inciso b))</w:t>
      </w:r>
      <w:r w:rsidR="003C38FD" w:rsidRPr="00BA3473">
        <w:rPr>
          <w:i/>
          <w:iCs/>
          <w:sz w:val="22"/>
          <w:szCs w:val="22"/>
        </w:rPr>
        <w:t>.</w:t>
      </w:r>
      <w:r w:rsidR="005F4CDE">
        <w:rPr>
          <w:i/>
          <w:iCs/>
          <w:sz w:val="22"/>
          <w:szCs w:val="22"/>
        </w:rPr>
        <w:t xml:space="preserve"> Se considera que</w:t>
      </w:r>
      <w:r w:rsidR="00057692">
        <w:rPr>
          <w:i/>
          <w:iCs/>
          <w:sz w:val="22"/>
          <w:szCs w:val="22"/>
        </w:rPr>
        <w:t xml:space="preserve"> un aumento moderado a</w:t>
      </w:r>
      <w:r w:rsidR="005F4CDE">
        <w:rPr>
          <w:i/>
          <w:iCs/>
          <w:sz w:val="22"/>
          <w:szCs w:val="22"/>
        </w:rPr>
        <w:t xml:space="preserve"> este límite </w:t>
      </w:r>
      <w:r w:rsidR="005F4CDE">
        <w:rPr>
          <w:i/>
          <w:iCs/>
          <w:sz w:val="22"/>
          <w:szCs w:val="22"/>
          <w:lang w:eastAsia="en-US"/>
        </w:rPr>
        <w:t>p</w:t>
      </w:r>
      <w:r w:rsidR="005F4CDE">
        <w:rPr>
          <w:i/>
          <w:iCs/>
          <w:sz w:val="22"/>
          <w:szCs w:val="22"/>
        </w:rPr>
        <w:t xml:space="preserve">ermitirá </w:t>
      </w:r>
      <w:r w:rsidR="0081703D" w:rsidRPr="009E77BA">
        <w:rPr>
          <w:i/>
          <w:iCs/>
          <w:sz w:val="22"/>
          <w:szCs w:val="22"/>
        </w:rPr>
        <w:t xml:space="preserve">promover </w:t>
      </w:r>
      <w:r>
        <w:rPr>
          <w:i/>
          <w:iCs/>
          <w:sz w:val="22"/>
          <w:szCs w:val="22"/>
        </w:rPr>
        <w:t>que los acreditados de menores ingresos tengan espacio suficiente para asociar créditos</w:t>
      </w:r>
      <w:r w:rsidR="00D67FE9">
        <w:rPr>
          <w:i/>
          <w:iCs/>
          <w:sz w:val="22"/>
          <w:szCs w:val="22"/>
        </w:rPr>
        <w:t>,</w:t>
      </w:r>
      <w:r>
        <w:rPr>
          <w:i/>
          <w:iCs/>
          <w:sz w:val="22"/>
          <w:szCs w:val="22"/>
        </w:rPr>
        <w:t xml:space="preserve"> así como dotar a todos los acreditados</w:t>
      </w:r>
      <w:r w:rsidR="0081703D" w:rsidRPr="009E77BA">
        <w:rPr>
          <w:i/>
          <w:iCs/>
          <w:sz w:val="22"/>
          <w:szCs w:val="22"/>
        </w:rPr>
        <w:t xml:space="preserve"> </w:t>
      </w:r>
      <w:r>
        <w:rPr>
          <w:i/>
          <w:iCs/>
          <w:sz w:val="22"/>
          <w:szCs w:val="22"/>
        </w:rPr>
        <w:t xml:space="preserve">de </w:t>
      </w:r>
      <w:r w:rsidR="0081703D" w:rsidRPr="009E77BA">
        <w:rPr>
          <w:i/>
          <w:iCs/>
          <w:sz w:val="22"/>
          <w:szCs w:val="22"/>
        </w:rPr>
        <w:t xml:space="preserve">mayor holgura para el pago de </w:t>
      </w:r>
      <w:r>
        <w:rPr>
          <w:i/>
          <w:iCs/>
          <w:sz w:val="22"/>
          <w:szCs w:val="22"/>
        </w:rPr>
        <w:t>créditos</w:t>
      </w:r>
      <w:r w:rsidR="0081703D" w:rsidRPr="009E77BA">
        <w:rPr>
          <w:i/>
          <w:iCs/>
          <w:sz w:val="22"/>
          <w:szCs w:val="22"/>
        </w:rPr>
        <w:t xml:space="preserve"> </w:t>
      </w:r>
      <w:r w:rsidR="00611A89">
        <w:rPr>
          <w:i/>
          <w:iCs/>
          <w:sz w:val="22"/>
          <w:szCs w:val="22"/>
        </w:rPr>
        <w:t xml:space="preserve">con fuente de pago estable </w:t>
      </w:r>
      <w:r w:rsidR="0081703D" w:rsidRPr="009E77BA">
        <w:rPr>
          <w:i/>
          <w:iCs/>
          <w:sz w:val="22"/>
          <w:szCs w:val="22"/>
        </w:rPr>
        <w:t xml:space="preserve">y </w:t>
      </w:r>
      <w:r>
        <w:rPr>
          <w:i/>
          <w:iCs/>
          <w:sz w:val="22"/>
          <w:szCs w:val="22"/>
        </w:rPr>
        <w:t xml:space="preserve">con ello </w:t>
      </w:r>
      <w:r w:rsidR="0081703D" w:rsidRPr="009E77BA">
        <w:rPr>
          <w:i/>
          <w:iCs/>
          <w:sz w:val="22"/>
          <w:szCs w:val="22"/>
        </w:rPr>
        <w:t>mantener mejores condiciones de calidad de la cartera del sistema.</w:t>
      </w:r>
    </w:p>
    <w:p w:rsidR="00466D0B" w:rsidRDefault="00466D0B" w:rsidP="00433FAE">
      <w:pPr>
        <w:spacing w:after="80"/>
        <w:ind w:left="567" w:firstLine="0"/>
        <w:jc w:val="center"/>
        <w:rPr>
          <w:rFonts w:eastAsiaTheme="majorEastAsia"/>
          <w:i/>
          <w:sz w:val="22"/>
          <w:szCs w:val="22"/>
          <w:lang w:eastAsia="en-US"/>
        </w:rPr>
      </w:pPr>
    </w:p>
    <w:p w:rsidR="00263913" w:rsidRPr="00263913" w:rsidRDefault="00263913" w:rsidP="00F46AF5">
      <w:pPr>
        <w:pStyle w:val="Default"/>
        <w:numPr>
          <w:ilvl w:val="1"/>
          <w:numId w:val="1"/>
        </w:numPr>
        <w:spacing w:after="80"/>
        <w:ind w:left="709" w:hanging="425"/>
        <w:jc w:val="both"/>
        <w:rPr>
          <w:bCs/>
          <w:sz w:val="22"/>
          <w:szCs w:val="22"/>
        </w:rPr>
      </w:pPr>
      <w:r w:rsidRPr="00263913">
        <w:rPr>
          <w:bCs/>
          <w:sz w:val="22"/>
          <w:szCs w:val="22"/>
        </w:rPr>
        <w:t xml:space="preserve">Sobre este mismo tema se presentaron dudas operativas respecto al método de cálculo y seguimiento del </w:t>
      </w:r>
      <w:r w:rsidR="001D54B2">
        <w:rPr>
          <w:bCs/>
          <w:sz w:val="22"/>
          <w:szCs w:val="22"/>
        </w:rPr>
        <w:t>porcentaje permitido de asociación de pago a los créditos,</w:t>
      </w:r>
      <w:r w:rsidRPr="00263913">
        <w:rPr>
          <w:bCs/>
          <w:sz w:val="22"/>
          <w:szCs w:val="22"/>
        </w:rPr>
        <w:t xml:space="preserve"> incluyendo:</w:t>
      </w:r>
    </w:p>
    <w:p w:rsidR="00263913" w:rsidRPr="006F626E" w:rsidRDefault="00263913" w:rsidP="00263913">
      <w:pPr>
        <w:pStyle w:val="Prrafodelista"/>
        <w:numPr>
          <w:ilvl w:val="0"/>
          <w:numId w:val="17"/>
        </w:numPr>
        <w:rPr>
          <w:rFonts w:eastAsiaTheme="majorEastAsia"/>
          <w:sz w:val="22"/>
          <w:szCs w:val="22"/>
          <w:lang w:eastAsia="en-US"/>
        </w:rPr>
      </w:pPr>
      <w:r w:rsidRPr="006F626E">
        <w:rPr>
          <w:rFonts w:eastAsiaTheme="majorEastAsia"/>
          <w:sz w:val="22"/>
          <w:szCs w:val="22"/>
          <w:lang w:eastAsia="en-US"/>
        </w:rPr>
        <w:lastRenderedPageBreak/>
        <w:t>Momento o periodicidad de cál</w:t>
      </w:r>
      <w:r w:rsidR="00F46AF5">
        <w:rPr>
          <w:rFonts w:eastAsiaTheme="majorEastAsia"/>
          <w:sz w:val="22"/>
          <w:szCs w:val="22"/>
          <w:lang w:eastAsia="en-US"/>
        </w:rPr>
        <w:t>culo del promedio de depósitos.</w:t>
      </w:r>
    </w:p>
    <w:p w:rsidR="00263913" w:rsidRPr="006F626E" w:rsidRDefault="00263913" w:rsidP="00263913">
      <w:pPr>
        <w:pStyle w:val="Prrafodelista"/>
        <w:numPr>
          <w:ilvl w:val="0"/>
          <w:numId w:val="17"/>
        </w:numPr>
        <w:rPr>
          <w:rFonts w:eastAsiaTheme="majorEastAsia"/>
          <w:sz w:val="22"/>
          <w:szCs w:val="22"/>
          <w:lang w:eastAsia="en-US"/>
        </w:rPr>
      </w:pPr>
      <w:r w:rsidRPr="006F626E">
        <w:rPr>
          <w:rFonts w:eastAsiaTheme="majorEastAsia"/>
          <w:sz w:val="22"/>
          <w:szCs w:val="22"/>
          <w:lang w:eastAsia="en-US"/>
        </w:rPr>
        <w:t xml:space="preserve">Tiempo con el que se </w:t>
      </w:r>
      <w:r w:rsidR="00F46AF5">
        <w:rPr>
          <w:rFonts w:eastAsiaTheme="majorEastAsia"/>
          <w:sz w:val="22"/>
          <w:szCs w:val="22"/>
          <w:lang w:eastAsia="en-US"/>
        </w:rPr>
        <w:t>cuenta para realizar el cálculo.</w:t>
      </w:r>
    </w:p>
    <w:p w:rsidR="00263913" w:rsidRPr="006F626E" w:rsidRDefault="00263913" w:rsidP="00263913">
      <w:pPr>
        <w:pStyle w:val="Prrafodelista"/>
        <w:numPr>
          <w:ilvl w:val="0"/>
          <w:numId w:val="17"/>
        </w:numPr>
        <w:rPr>
          <w:rFonts w:eastAsiaTheme="majorEastAsia"/>
          <w:sz w:val="22"/>
          <w:szCs w:val="22"/>
          <w:lang w:eastAsia="en-US"/>
        </w:rPr>
      </w:pPr>
      <w:r w:rsidRPr="006F626E">
        <w:rPr>
          <w:rFonts w:eastAsiaTheme="majorEastAsia"/>
          <w:sz w:val="22"/>
          <w:szCs w:val="22"/>
          <w:lang w:eastAsia="en-US"/>
        </w:rPr>
        <w:t>Responsabilidad del banco ordenante por un cálculo incorrecto</w:t>
      </w:r>
      <w:r w:rsidR="00F46AF5">
        <w:rPr>
          <w:rFonts w:eastAsiaTheme="majorEastAsia"/>
          <w:sz w:val="22"/>
          <w:szCs w:val="22"/>
          <w:lang w:eastAsia="en-US"/>
        </w:rPr>
        <w:t>.</w:t>
      </w:r>
    </w:p>
    <w:p w:rsidR="00263913" w:rsidRPr="006F626E" w:rsidRDefault="00263913" w:rsidP="00263913">
      <w:pPr>
        <w:pStyle w:val="Prrafodelista"/>
        <w:numPr>
          <w:ilvl w:val="0"/>
          <w:numId w:val="17"/>
        </w:numPr>
        <w:rPr>
          <w:rFonts w:eastAsiaTheme="majorEastAsia"/>
          <w:sz w:val="22"/>
          <w:szCs w:val="22"/>
          <w:lang w:eastAsia="en-US"/>
        </w:rPr>
      </w:pPr>
      <w:r w:rsidRPr="006F626E">
        <w:rPr>
          <w:rFonts w:eastAsiaTheme="majorEastAsia"/>
          <w:sz w:val="22"/>
          <w:szCs w:val="22"/>
          <w:lang w:eastAsia="en-US"/>
        </w:rPr>
        <w:t>C</w:t>
      </w:r>
      <w:r w:rsidR="00433190">
        <w:rPr>
          <w:rFonts w:eastAsiaTheme="majorEastAsia"/>
          <w:sz w:val="22"/>
          <w:szCs w:val="22"/>
          <w:lang w:eastAsia="en-US"/>
        </w:rPr>
        <w:t>ó</w:t>
      </w:r>
      <w:r w:rsidRPr="006F626E">
        <w:rPr>
          <w:rFonts w:eastAsiaTheme="majorEastAsia"/>
          <w:sz w:val="22"/>
          <w:szCs w:val="22"/>
          <w:lang w:eastAsia="en-US"/>
        </w:rPr>
        <w:t>mo calcularlo p</w:t>
      </w:r>
      <w:r w:rsidR="00F46AF5">
        <w:rPr>
          <w:rFonts w:eastAsiaTheme="majorEastAsia"/>
          <w:sz w:val="22"/>
          <w:szCs w:val="22"/>
          <w:lang w:eastAsia="en-US"/>
        </w:rPr>
        <w:t>ara créditos con tasa variables.</w:t>
      </w:r>
    </w:p>
    <w:p w:rsidR="00263913" w:rsidRPr="006F626E" w:rsidRDefault="00263913" w:rsidP="00263913">
      <w:pPr>
        <w:pStyle w:val="Prrafodelista"/>
        <w:numPr>
          <w:ilvl w:val="0"/>
          <w:numId w:val="17"/>
        </w:numPr>
        <w:rPr>
          <w:rFonts w:eastAsiaTheme="majorEastAsia"/>
          <w:sz w:val="22"/>
          <w:szCs w:val="22"/>
          <w:lang w:eastAsia="en-US"/>
        </w:rPr>
      </w:pPr>
      <w:r w:rsidRPr="006F626E">
        <w:rPr>
          <w:rFonts w:eastAsiaTheme="majorEastAsia"/>
          <w:sz w:val="22"/>
          <w:szCs w:val="22"/>
          <w:lang w:eastAsia="en-US"/>
        </w:rPr>
        <w:t>C</w:t>
      </w:r>
      <w:r w:rsidR="00433190">
        <w:rPr>
          <w:rFonts w:eastAsiaTheme="majorEastAsia"/>
          <w:sz w:val="22"/>
          <w:szCs w:val="22"/>
          <w:lang w:eastAsia="en-US"/>
        </w:rPr>
        <w:t>ó</w:t>
      </w:r>
      <w:r w:rsidRPr="006F626E">
        <w:rPr>
          <w:rFonts w:eastAsiaTheme="majorEastAsia"/>
          <w:sz w:val="22"/>
          <w:szCs w:val="22"/>
          <w:lang w:eastAsia="en-US"/>
        </w:rPr>
        <w:t xml:space="preserve">mo proceder cuando es superado el límite por el </w:t>
      </w:r>
      <w:r w:rsidR="00F46AF5">
        <w:rPr>
          <w:rFonts w:eastAsiaTheme="majorEastAsia"/>
          <w:sz w:val="22"/>
          <w:szCs w:val="22"/>
          <w:lang w:eastAsia="en-US"/>
        </w:rPr>
        <w:t>cobro de comisiones o intereses.</w:t>
      </w:r>
    </w:p>
    <w:p w:rsidR="00F22CD5" w:rsidRDefault="007C0C0F" w:rsidP="00F46AF5">
      <w:pPr>
        <w:spacing w:after="80"/>
        <w:ind w:left="708" w:firstLine="0"/>
        <w:rPr>
          <w:bCs/>
          <w:i/>
          <w:sz w:val="22"/>
          <w:szCs w:val="22"/>
          <w:u w:val="single"/>
        </w:rPr>
      </w:pPr>
      <w:r>
        <w:rPr>
          <w:b/>
          <w:color w:val="00B050"/>
          <w:sz w:val="22"/>
        </w:rPr>
        <w:t>Opinión</w:t>
      </w:r>
      <w:r w:rsidR="00F22CD5" w:rsidRPr="005E63C2">
        <w:rPr>
          <w:b/>
          <w:color w:val="00B050"/>
          <w:sz w:val="22"/>
        </w:rPr>
        <w:t xml:space="preserve"> del Banco de México</w:t>
      </w:r>
    </w:p>
    <w:p w:rsidR="006B5F51" w:rsidRPr="006B5F51" w:rsidRDefault="005F1F33" w:rsidP="00F46AF5">
      <w:pPr>
        <w:spacing w:after="80"/>
        <w:ind w:left="708" w:firstLine="0"/>
        <w:rPr>
          <w:rFonts w:eastAsiaTheme="majorEastAsia"/>
          <w:i/>
          <w:sz w:val="22"/>
          <w:szCs w:val="22"/>
          <w:lang w:eastAsia="en-US"/>
        </w:rPr>
      </w:pPr>
      <w:r>
        <w:rPr>
          <w:rFonts w:eastAsiaTheme="majorEastAsia"/>
          <w:i/>
          <w:sz w:val="22"/>
          <w:szCs w:val="22"/>
          <w:lang w:eastAsia="en-US"/>
        </w:rPr>
        <w:t>E</w:t>
      </w:r>
      <w:r w:rsidR="006B5F51" w:rsidRPr="006B5F51">
        <w:rPr>
          <w:rFonts w:eastAsiaTheme="majorEastAsia"/>
          <w:i/>
          <w:sz w:val="22"/>
          <w:szCs w:val="22"/>
          <w:lang w:eastAsia="en-US"/>
        </w:rPr>
        <w:t>stos comentarios operativos relevantes se abordan puntualmente al final de este documento, sin embargo, se aclara que para eliminar complejidad en el cálculo del límite y evitar que la fuente de pago pueda ponerse en riesgo</w:t>
      </w:r>
      <w:r w:rsidR="00A26AB4">
        <w:rPr>
          <w:rFonts w:eastAsiaTheme="majorEastAsia"/>
          <w:i/>
          <w:sz w:val="22"/>
          <w:szCs w:val="22"/>
          <w:lang w:eastAsia="en-US"/>
        </w:rPr>
        <w:t>,</w:t>
      </w:r>
      <w:r w:rsidR="006B5F51" w:rsidRPr="006B5F51">
        <w:rPr>
          <w:rFonts w:eastAsiaTheme="majorEastAsia"/>
          <w:i/>
          <w:sz w:val="22"/>
          <w:szCs w:val="22"/>
          <w:lang w:eastAsia="en-US"/>
        </w:rPr>
        <w:t xml:space="preserve"> se estima relevante que dicho cálculo se realice al inicio del crédito con los elementos señalados en el proyecto </w:t>
      </w:r>
      <w:r w:rsidR="00433190">
        <w:rPr>
          <w:rFonts w:eastAsiaTheme="majorEastAsia"/>
          <w:i/>
          <w:sz w:val="22"/>
          <w:szCs w:val="22"/>
          <w:lang w:eastAsia="en-US"/>
        </w:rPr>
        <w:t xml:space="preserve">de disposiciones </w:t>
      </w:r>
      <w:r w:rsidR="006B5F51" w:rsidRPr="006B5F51">
        <w:rPr>
          <w:rFonts w:eastAsiaTheme="majorEastAsia"/>
          <w:i/>
          <w:sz w:val="22"/>
          <w:szCs w:val="22"/>
          <w:lang w:eastAsia="en-US"/>
        </w:rPr>
        <w:t>y</w:t>
      </w:r>
      <w:r w:rsidR="001D54B2">
        <w:rPr>
          <w:rFonts w:eastAsiaTheme="majorEastAsia"/>
          <w:i/>
          <w:sz w:val="22"/>
          <w:szCs w:val="22"/>
          <w:lang w:eastAsia="en-US"/>
        </w:rPr>
        <w:t>, en caso de créditos de tasa variable</w:t>
      </w:r>
      <w:r w:rsidR="00433190">
        <w:rPr>
          <w:rFonts w:eastAsiaTheme="majorEastAsia"/>
          <w:i/>
          <w:sz w:val="22"/>
          <w:szCs w:val="22"/>
          <w:lang w:eastAsia="en-US"/>
        </w:rPr>
        <w:t>,</w:t>
      </w:r>
      <w:r w:rsidR="001D54B2">
        <w:rPr>
          <w:rFonts w:eastAsiaTheme="majorEastAsia"/>
          <w:i/>
          <w:sz w:val="22"/>
          <w:szCs w:val="22"/>
          <w:lang w:eastAsia="en-US"/>
        </w:rPr>
        <w:t xml:space="preserve"> </w:t>
      </w:r>
      <w:r w:rsidR="00433190">
        <w:rPr>
          <w:rFonts w:eastAsiaTheme="majorEastAsia"/>
          <w:i/>
          <w:sz w:val="22"/>
          <w:szCs w:val="22"/>
          <w:lang w:eastAsia="en-US"/>
        </w:rPr>
        <w:t>se supondrá</w:t>
      </w:r>
      <w:r w:rsidR="001D54B2">
        <w:rPr>
          <w:rFonts w:eastAsiaTheme="majorEastAsia"/>
          <w:i/>
          <w:sz w:val="22"/>
          <w:szCs w:val="22"/>
          <w:lang w:eastAsia="en-US"/>
        </w:rPr>
        <w:t xml:space="preserve"> fijo el pago mensual</w:t>
      </w:r>
      <w:r w:rsidR="00433190">
        <w:rPr>
          <w:rFonts w:eastAsiaTheme="majorEastAsia"/>
          <w:i/>
          <w:sz w:val="22"/>
          <w:szCs w:val="22"/>
          <w:lang w:eastAsia="en-US"/>
        </w:rPr>
        <w:t xml:space="preserve"> bajo las condiciones prevalecientes en el momento</w:t>
      </w:r>
      <w:r w:rsidR="00E049D8">
        <w:rPr>
          <w:rFonts w:eastAsiaTheme="majorEastAsia"/>
          <w:i/>
          <w:sz w:val="22"/>
          <w:szCs w:val="22"/>
          <w:lang w:eastAsia="en-US"/>
        </w:rPr>
        <w:t xml:space="preserve"> </w:t>
      </w:r>
      <w:r w:rsidR="00E049D8" w:rsidRPr="00B73006">
        <w:rPr>
          <w:rFonts w:eastAsiaTheme="majorEastAsia"/>
          <w:i/>
          <w:sz w:val="22"/>
          <w:szCs w:val="22"/>
          <w:lang w:eastAsia="en-US"/>
        </w:rPr>
        <w:t>(artículo 22 Bis1, fracción I, inciso b)</w:t>
      </w:r>
      <w:r w:rsidR="00E049D8">
        <w:rPr>
          <w:rFonts w:eastAsiaTheme="majorEastAsia"/>
          <w:i/>
          <w:sz w:val="22"/>
          <w:szCs w:val="22"/>
          <w:lang w:eastAsia="en-US"/>
        </w:rPr>
        <w:t>, quinto párrafo</w:t>
      </w:r>
      <w:r w:rsidR="00E049D8" w:rsidRPr="00B73006">
        <w:rPr>
          <w:rFonts w:eastAsiaTheme="majorEastAsia"/>
          <w:i/>
          <w:sz w:val="22"/>
          <w:szCs w:val="22"/>
          <w:lang w:eastAsia="en-US"/>
        </w:rPr>
        <w:t>)</w:t>
      </w:r>
      <w:r w:rsidR="001D54B2">
        <w:rPr>
          <w:rFonts w:eastAsiaTheme="majorEastAsia"/>
          <w:i/>
          <w:sz w:val="22"/>
          <w:szCs w:val="22"/>
          <w:lang w:eastAsia="en-US"/>
        </w:rPr>
        <w:t xml:space="preserve">. </w:t>
      </w:r>
      <w:r w:rsidR="00433190">
        <w:rPr>
          <w:rFonts w:eastAsiaTheme="majorEastAsia"/>
          <w:i/>
          <w:sz w:val="22"/>
          <w:szCs w:val="22"/>
          <w:lang w:eastAsia="en-US"/>
        </w:rPr>
        <w:t>Se aclara que no se permitirá el cobro de intereses moratorios asociados al flujo de pago de prestaciones laborales</w:t>
      </w:r>
      <w:r w:rsidR="00B73006">
        <w:rPr>
          <w:rFonts w:eastAsiaTheme="majorEastAsia"/>
          <w:i/>
          <w:sz w:val="22"/>
          <w:szCs w:val="22"/>
          <w:lang w:eastAsia="en-US"/>
        </w:rPr>
        <w:t xml:space="preserve"> </w:t>
      </w:r>
      <w:r w:rsidR="00B73006" w:rsidRPr="00B73006">
        <w:rPr>
          <w:rFonts w:eastAsiaTheme="majorEastAsia"/>
          <w:i/>
          <w:sz w:val="22"/>
          <w:szCs w:val="22"/>
          <w:lang w:eastAsia="en-US"/>
        </w:rPr>
        <w:t xml:space="preserve">(artículo 22 Bis1, fracción I, inciso </w:t>
      </w:r>
      <w:r w:rsidR="00B73006">
        <w:rPr>
          <w:rFonts w:eastAsiaTheme="majorEastAsia"/>
          <w:i/>
          <w:sz w:val="22"/>
          <w:szCs w:val="22"/>
          <w:lang w:eastAsia="en-US"/>
        </w:rPr>
        <w:t>d</w:t>
      </w:r>
      <w:r w:rsidR="00B73006" w:rsidRPr="00B73006">
        <w:rPr>
          <w:rFonts w:eastAsiaTheme="majorEastAsia"/>
          <w:i/>
          <w:sz w:val="22"/>
          <w:szCs w:val="22"/>
          <w:lang w:eastAsia="en-US"/>
        </w:rPr>
        <w:t>)</w:t>
      </w:r>
      <w:r w:rsidR="00B73006">
        <w:rPr>
          <w:rFonts w:eastAsiaTheme="majorEastAsia"/>
          <w:i/>
          <w:sz w:val="22"/>
          <w:szCs w:val="22"/>
          <w:lang w:eastAsia="en-US"/>
        </w:rPr>
        <w:t>, subinciso i</w:t>
      </w:r>
      <w:r w:rsidR="00B73006" w:rsidRPr="00B73006">
        <w:rPr>
          <w:rFonts w:eastAsiaTheme="majorEastAsia"/>
          <w:i/>
          <w:sz w:val="22"/>
          <w:szCs w:val="22"/>
          <w:lang w:eastAsia="en-US"/>
        </w:rPr>
        <w:t>)</w:t>
      </w:r>
      <w:r w:rsidR="00433190">
        <w:rPr>
          <w:rFonts w:eastAsiaTheme="majorEastAsia"/>
          <w:i/>
          <w:sz w:val="22"/>
          <w:szCs w:val="22"/>
          <w:lang w:eastAsia="en-US"/>
        </w:rPr>
        <w:t xml:space="preserve">. </w:t>
      </w:r>
      <w:r w:rsidR="00EB79F8">
        <w:rPr>
          <w:rFonts w:eastAsiaTheme="majorEastAsia"/>
          <w:i/>
          <w:sz w:val="22"/>
          <w:szCs w:val="22"/>
          <w:lang w:eastAsia="en-US"/>
        </w:rPr>
        <w:t xml:space="preserve">Asimismo, se establece en la propuesta que el periodo </w:t>
      </w:r>
      <w:r w:rsidR="00EB79F8" w:rsidRPr="00EB79F8">
        <w:rPr>
          <w:rFonts w:eastAsiaTheme="majorEastAsia"/>
          <w:i/>
          <w:sz w:val="22"/>
          <w:szCs w:val="22"/>
          <w:lang w:eastAsia="en-US"/>
        </w:rPr>
        <w:t xml:space="preserve">entre la apertura de la Cuenta Ordenante y la presentación de </w:t>
      </w:r>
      <w:r w:rsidR="00EB79F8">
        <w:rPr>
          <w:rFonts w:eastAsiaTheme="majorEastAsia"/>
          <w:i/>
          <w:sz w:val="22"/>
          <w:szCs w:val="22"/>
          <w:lang w:eastAsia="en-US"/>
        </w:rPr>
        <w:t>un</w:t>
      </w:r>
      <w:r w:rsidR="00EB79F8" w:rsidRPr="00EB79F8">
        <w:rPr>
          <w:rFonts w:eastAsiaTheme="majorEastAsia"/>
          <w:i/>
          <w:sz w:val="22"/>
          <w:szCs w:val="22"/>
          <w:lang w:eastAsia="en-US"/>
        </w:rPr>
        <w:t xml:space="preserve">a solicitud </w:t>
      </w:r>
      <w:r w:rsidR="00EB79F8">
        <w:rPr>
          <w:rFonts w:eastAsiaTheme="majorEastAsia"/>
          <w:i/>
          <w:sz w:val="22"/>
          <w:szCs w:val="22"/>
          <w:lang w:eastAsia="en-US"/>
        </w:rPr>
        <w:t xml:space="preserve">para designar un CAN </w:t>
      </w:r>
      <w:r w:rsidR="00EB79F8" w:rsidRPr="00EB79F8">
        <w:rPr>
          <w:rFonts w:eastAsiaTheme="majorEastAsia"/>
          <w:i/>
          <w:sz w:val="22"/>
          <w:szCs w:val="22"/>
          <w:lang w:eastAsia="en-US"/>
        </w:rPr>
        <w:t>no podrá ser menor a tres meses</w:t>
      </w:r>
      <w:r w:rsidR="00EB79F8">
        <w:rPr>
          <w:rFonts w:eastAsiaTheme="majorEastAsia"/>
          <w:i/>
          <w:sz w:val="22"/>
          <w:szCs w:val="22"/>
          <w:lang w:eastAsia="en-US"/>
        </w:rPr>
        <w:t>, con el fin de que se cuente con la información necesaria para poder calcular el referido límite del 40% y acreditar la recepción de recursos provenientes de prestaciones laborales (artículo 22 Bi</w:t>
      </w:r>
      <w:r w:rsidR="00F52835">
        <w:rPr>
          <w:rFonts w:eastAsiaTheme="majorEastAsia"/>
          <w:i/>
          <w:sz w:val="22"/>
          <w:szCs w:val="22"/>
          <w:lang w:eastAsia="en-US"/>
        </w:rPr>
        <w:t>s</w:t>
      </w:r>
      <w:r w:rsidR="00EB79F8">
        <w:rPr>
          <w:rFonts w:eastAsiaTheme="majorEastAsia"/>
          <w:i/>
          <w:sz w:val="22"/>
          <w:szCs w:val="22"/>
          <w:lang w:eastAsia="en-US"/>
        </w:rPr>
        <w:t xml:space="preserve"> 1, fracción I, inciso b)</w:t>
      </w:r>
      <w:r w:rsidR="00E049D8">
        <w:rPr>
          <w:rFonts w:eastAsiaTheme="majorEastAsia"/>
          <w:i/>
          <w:sz w:val="22"/>
          <w:szCs w:val="22"/>
          <w:lang w:eastAsia="en-US"/>
        </w:rPr>
        <w:t>, tercer párrafo</w:t>
      </w:r>
      <w:r w:rsidR="00EB79F8">
        <w:rPr>
          <w:rFonts w:eastAsiaTheme="majorEastAsia"/>
          <w:i/>
          <w:sz w:val="22"/>
          <w:szCs w:val="22"/>
          <w:lang w:eastAsia="en-US"/>
        </w:rPr>
        <w:t>)</w:t>
      </w:r>
      <w:r w:rsidR="00EB79F8" w:rsidRPr="00EB79F8">
        <w:rPr>
          <w:rFonts w:eastAsiaTheme="majorEastAsia"/>
          <w:i/>
          <w:sz w:val="22"/>
          <w:szCs w:val="22"/>
          <w:lang w:eastAsia="en-US"/>
        </w:rPr>
        <w:t>.</w:t>
      </w:r>
    </w:p>
    <w:p w:rsidR="00263913" w:rsidRDefault="00263913" w:rsidP="00F46AF5">
      <w:pPr>
        <w:pStyle w:val="Default"/>
        <w:numPr>
          <w:ilvl w:val="1"/>
          <w:numId w:val="1"/>
        </w:numPr>
        <w:spacing w:before="240" w:after="80"/>
        <w:ind w:left="709" w:hanging="425"/>
        <w:jc w:val="both"/>
        <w:rPr>
          <w:bCs/>
          <w:sz w:val="22"/>
          <w:szCs w:val="22"/>
        </w:rPr>
      </w:pPr>
      <w:r w:rsidRPr="006F626E">
        <w:rPr>
          <w:rFonts w:eastAsiaTheme="majorEastAsia"/>
          <w:sz w:val="22"/>
          <w:szCs w:val="22"/>
          <w:lang w:eastAsia="en-US"/>
        </w:rPr>
        <w:t xml:space="preserve">Otro tipo de observaciones recibidas se enfocaron a señalar que pudieran existir casos en los que </w:t>
      </w:r>
      <w:r w:rsidRPr="00263913">
        <w:rPr>
          <w:bCs/>
          <w:sz w:val="22"/>
          <w:szCs w:val="22"/>
        </w:rPr>
        <w:t>un cuentahabiente solicita créditos de forma casi simultánea en distintos bancos con el objeto de obtener y compara</w:t>
      </w:r>
      <w:r w:rsidR="00433190">
        <w:rPr>
          <w:bCs/>
          <w:sz w:val="22"/>
          <w:szCs w:val="22"/>
        </w:rPr>
        <w:t>r</w:t>
      </w:r>
      <w:r w:rsidRPr="00263913">
        <w:rPr>
          <w:bCs/>
          <w:sz w:val="22"/>
          <w:szCs w:val="22"/>
        </w:rPr>
        <w:t xml:space="preserve"> las tasas que ofrece cada uno, sin embargo, con múltiples consultas, el cuentahabiente podría recibir rechazos a sus solicitudes por exceder el límite </w:t>
      </w:r>
      <w:r w:rsidR="00433190">
        <w:rPr>
          <w:bCs/>
          <w:sz w:val="22"/>
          <w:szCs w:val="22"/>
        </w:rPr>
        <w:t>establecido (</w:t>
      </w:r>
      <w:r w:rsidRPr="00263913">
        <w:rPr>
          <w:bCs/>
          <w:sz w:val="22"/>
          <w:szCs w:val="22"/>
        </w:rPr>
        <w:t>35%</w:t>
      </w:r>
      <w:r w:rsidR="00685A3E">
        <w:rPr>
          <w:bCs/>
          <w:sz w:val="22"/>
          <w:szCs w:val="22"/>
        </w:rPr>
        <w:t>)</w:t>
      </w:r>
      <w:r w:rsidRPr="00263913">
        <w:rPr>
          <w:bCs/>
          <w:sz w:val="22"/>
          <w:szCs w:val="22"/>
        </w:rPr>
        <w:t xml:space="preserve"> aun cuando uno o varios de los créditos solicitados no sean formalizados. En este sentido, el cliente se vería obligado a esperar al menos 5 días entre sus consultas para permitir que se desbloquee el porcentaje de la nómina que fue considerado para el pago de un crédito que solicitó pero que nunca firmó.</w:t>
      </w:r>
    </w:p>
    <w:p w:rsidR="004C3642" w:rsidRDefault="007C0C0F" w:rsidP="00F46AF5">
      <w:pPr>
        <w:spacing w:after="80"/>
        <w:ind w:left="561" w:firstLine="147"/>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4C3642">
        <w:rPr>
          <w:rFonts w:eastAsiaTheme="majorEastAsia"/>
          <w:i/>
          <w:sz w:val="22"/>
          <w:szCs w:val="22"/>
          <w:lang w:eastAsia="en-US"/>
        </w:rPr>
        <w:t xml:space="preserve"> </w:t>
      </w:r>
    </w:p>
    <w:p w:rsidR="004C3642" w:rsidRPr="00685A3E" w:rsidRDefault="004C3642" w:rsidP="00F46AF5">
      <w:pPr>
        <w:pStyle w:val="Default"/>
        <w:spacing w:after="80"/>
        <w:ind w:left="708"/>
        <w:jc w:val="both"/>
        <w:rPr>
          <w:bCs/>
          <w:i/>
          <w:sz w:val="22"/>
          <w:szCs w:val="22"/>
        </w:rPr>
      </w:pPr>
      <w:r w:rsidRPr="00685A3E">
        <w:rPr>
          <w:rFonts w:eastAsiaTheme="majorEastAsia"/>
          <w:i/>
          <w:sz w:val="22"/>
          <w:szCs w:val="22"/>
          <w:lang w:eastAsia="en-US"/>
        </w:rPr>
        <w:t>Respecto al tiempo que tendrá una institución para el cálculo del límite del</w:t>
      </w:r>
      <w:r w:rsidR="00433190">
        <w:rPr>
          <w:rFonts w:eastAsiaTheme="majorEastAsia"/>
          <w:i/>
          <w:sz w:val="22"/>
          <w:szCs w:val="22"/>
          <w:lang w:eastAsia="en-US"/>
        </w:rPr>
        <w:t xml:space="preserve"> </w:t>
      </w:r>
      <w:r w:rsidR="00057692">
        <w:rPr>
          <w:rFonts w:eastAsiaTheme="majorEastAsia"/>
          <w:i/>
          <w:sz w:val="22"/>
          <w:szCs w:val="22"/>
          <w:lang w:eastAsia="en-US"/>
        </w:rPr>
        <w:t>[35/</w:t>
      </w:r>
      <w:r w:rsidR="00B73006">
        <w:rPr>
          <w:rFonts w:eastAsiaTheme="majorEastAsia"/>
          <w:i/>
          <w:sz w:val="22"/>
          <w:szCs w:val="22"/>
          <w:lang w:eastAsia="en-US"/>
        </w:rPr>
        <w:t>40</w:t>
      </w:r>
      <w:r w:rsidRPr="00685A3E">
        <w:rPr>
          <w:rFonts w:eastAsiaTheme="majorEastAsia"/>
          <w:i/>
          <w:sz w:val="22"/>
          <w:szCs w:val="22"/>
          <w:lang w:eastAsia="en-US"/>
        </w:rPr>
        <w:t>%</w:t>
      </w:r>
      <w:r w:rsidR="00057692">
        <w:rPr>
          <w:rFonts w:eastAsiaTheme="majorEastAsia"/>
          <w:i/>
          <w:sz w:val="22"/>
          <w:szCs w:val="22"/>
          <w:lang w:eastAsia="en-US"/>
        </w:rPr>
        <w:t>]</w:t>
      </w:r>
      <w:r w:rsidRPr="00685A3E">
        <w:rPr>
          <w:rFonts w:eastAsiaTheme="majorEastAsia"/>
          <w:i/>
          <w:sz w:val="22"/>
          <w:szCs w:val="22"/>
          <w:lang w:eastAsia="en-US"/>
        </w:rPr>
        <w:t xml:space="preserve">, se aclara que la disposición requerirá verificar que no se excede </w:t>
      </w:r>
      <w:r w:rsidR="00433190">
        <w:rPr>
          <w:rFonts w:eastAsiaTheme="majorEastAsia"/>
          <w:i/>
          <w:sz w:val="22"/>
          <w:szCs w:val="22"/>
          <w:lang w:eastAsia="en-US"/>
        </w:rPr>
        <w:t>tal límite</w:t>
      </w:r>
      <w:r w:rsidRPr="00685A3E">
        <w:rPr>
          <w:rFonts w:eastAsiaTheme="majorEastAsia"/>
          <w:i/>
          <w:sz w:val="22"/>
          <w:szCs w:val="22"/>
          <w:lang w:eastAsia="en-US"/>
        </w:rPr>
        <w:t xml:space="preserve"> a más tardar un día hábil después de recibir una solicitud</w:t>
      </w:r>
      <w:r w:rsidR="008F7A66">
        <w:rPr>
          <w:rFonts w:eastAsiaTheme="majorEastAsia"/>
          <w:i/>
          <w:sz w:val="22"/>
          <w:szCs w:val="22"/>
          <w:lang w:eastAsia="en-US"/>
        </w:rPr>
        <w:t xml:space="preserve"> </w:t>
      </w:r>
      <w:r w:rsidR="008F7A66" w:rsidRPr="00B73006">
        <w:rPr>
          <w:rFonts w:eastAsiaTheme="majorEastAsia"/>
          <w:i/>
          <w:sz w:val="22"/>
          <w:szCs w:val="22"/>
          <w:lang w:eastAsia="en-US"/>
        </w:rPr>
        <w:t>(artículo 22 Bis1, fracción I, inciso b)</w:t>
      </w:r>
      <w:r w:rsidR="008F7A66">
        <w:rPr>
          <w:rFonts w:eastAsiaTheme="majorEastAsia"/>
          <w:i/>
          <w:sz w:val="22"/>
          <w:szCs w:val="22"/>
          <w:lang w:eastAsia="en-US"/>
        </w:rPr>
        <w:t>, sexto párrafo</w:t>
      </w:r>
      <w:r w:rsidR="008F7A66" w:rsidRPr="00B73006">
        <w:rPr>
          <w:rFonts w:eastAsiaTheme="majorEastAsia"/>
          <w:i/>
          <w:sz w:val="22"/>
          <w:szCs w:val="22"/>
          <w:lang w:eastAsia="en-US"/>
        </w:rPr>
        <w:t>)</w:t>
      </w:r>
      <w:r w:rsidRPr="00685A3E">
        <w:rPr>
          <w:rFonts w:eastAsiaTheme="majorEastAsia"/>
          <w:i/>
          <w:sz w:val="22"/>
          <w:szCs w:val="22"/>
          <w:lang w:eastAsia="en-US"/>
        </w:rPr>
        <w:t xml:space="preserve">. </w:t>
      </w:r>
      <w:r w:rsidR="00433190">
        <w:rPr>
          <w:rFonts w:eastAsiaTheme="majorEastAsia"/>
          <w:i/>
          <w:sz w:val="22"/>
          <w:szCs w:val="22"/>
          <w:lang w:eastAsia="en-US"/>
        </w:rPr>
        <w:t>Es importante, sin embargo, que se considere el actual periodo propuesto de 5 días para que se formalice el crédito en virtud de que es la forma de asegurar que dicho crédito se asocie exitosamente a la nómina</w:t>
      </w:r>
      <w:r w:rsidR="008F7A66">
        <w:rPr>
          <w:rFonts w:eastAsiaTheme="majorEastAsia"/>
          <w:i/>
          <w:sz w:val="22"/>
          <w:szCs w:val="22"/>
          <w:lang w:eastAsia="en-US"/>
        </w:rPr>
        <w:t xml:space="preserve"> </w:t>
      </w:r>
      <w:r w:rsidR="008F7A66" w:rsidRPr="00B73006">
        <w:rPr>
          <w:rFonts w:eastAsiaTheme="majorEastAsia"/>
          <w:i/>
          <w:sz w:val="22"/>
          <w:szCs w:val="22"/>
          <w:lang w:eastAsia="en-US"/>
        </w:rPr>
        <w:t>(artículo 22 Bis1, fracción I, inciso b)</w:t>
      </w:r>
      <w:r w:rsidR="008F7A66">
        <w:rPr>
          <w:rFonts w:eastAsiaTheme="majorEastAsia"/>
          <w:i/>
          <w:sz w:val="22"/>
          <w:szCs w:val="22"/>
          <w:lang w:eastAsia="en-US"/>
        </w:rPr>
        <w:t>, séptimo párrafo</w:t>
      </w:r>
      <w:r w:rsidR="008F7A66" w:rsidRPr="00B73006">
        <w:rPr>
          <w:rFonts w:eastAsiaTheme="majorEastAsia"/>
          <w:i/>
          <w:sz w:val="22"/>
          <w:szCs w:val="22"/>
          <w:lang w:eastAsia="en-US"/>
        </w:rPr>
        <w:t>)</w:t>
      </w:r>
      <w:r w:rsidR="00433190">
        <w:rPr>
          <w:rFonts w:eastAsiaTheme="majorEastAsia"/>
          <w:i/>
          <w:sz w:val="22"/>
          <w:szCs w:val="22"/>
          <w:lang w:eastAsia="en-US"/>
        </w:rPr>
        <w:t>. Se considera que esto conllevará mayores beneficios al esquema que el potencial detrimento de 5 días de espera descrito en el comentario</w:t>
      </w:r>
      <w:r w:rsidRPr="00685A3E">
        <w:rPr>
          <w:rFonts w:eastAsiaTheme="majorEastAsia"/>
          <w:i/>
          <w:sz w:val="22"/>
          <w:szCs w:val="22"/>
          <w:lang w:eastAsia="en-US"/>
        </w:rPr>
        <w:t>.</w:t>
      </w:r>
      <w:r w:rsidR="00BF3A92">
        <w:rPr>
          <w:rFonts w:eastAsiaTheme="majorEastAsia"/>
          <w:i/>
          <w:sz w:val="22"/>
          <w:szCs w:val="22"/>
          <w:lang w:eastAsia="en-US"/>
        </w:rPr>
        <w:t xml:space="preserve"> </w:t>
      </w:r>
    </w:p>
    <w:p w:rsidR="00263913" w:rsidRDefault="00263913" w:rsidP="00433FAE">
      <w:pPr>
        <w:pStyle w:val="Default"/>
        <w:spacing w:after="80"/>
        <w:jc w:val="center"/>
        <w:rPr>
          <w:bCs/>
          <w:sz w:val="22"/>
          <w:szCs w:val="22"/>
        </w:rPr>
      </w:pPr>
    </w:p>
    <w:p w:rsidR="00577900"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lastRenderedPageBreak/>
        <w:t>Comentarios s</w:t>
      </w:r>
      <w:r w:rsidR="00577900" w:rsidRPr="007408D8">
        <w:rPr>
          <w:rFonts w:ascii="Cambria" w:eastAsiaTheme="majorEastAsia" w:hAnsi="Cambria" w:cstheme="majorBidi"/>
          <w:bCs w:val="0"/>
          <w:color w:val="365F91"/>
          <w:kern w:val="0"/>
          <w:sz w:val="26"/>
          <w:szCs w:val="26"/>
          <w:lang w:eastAsia="en-US"/>
        </w:rPr>
        <w:t>obre el man</w:t>
      </w:r>
      <w:r w:rsidR="008F00FF" w:rsidRPr="007408D8">
        <w:rPr>
          <w:rFonts w:ascii="Cambria" w:eastAsiaTheme="majorEastAsia" w:hAnsi="Cambria" w:cstheme="majorBidi"/>
          <w:bCs w:val="0"/>
          <w:color w:val="365F91"/>
          <w:kern w:val="0"/>
          <w:sz w:val="26"/>
          <w:szCs w:val="26"/>
          <w:lang w:eastAsia="en-US"/>
        </w:rPr>
        <w:t>dato para compartir información.</w:t>
      </w:r>
      <w:r w:rsidR="00577900" w:rsidRPr="007408D8">
        <w:rPr>
          <w:rFonts w:ascii="Cambria" w:eastAsiaTheme="majorEastAsia" w:hAnsi="Cambria" w:cstheme="majorBidi"/>
          <w:bCs w:val="0"/>
          <w:color w:val="365F91"/>
          <w:kern w:val="0"/>
          <w:sz w:val="26"/>
          <w:szCs w:val="26"/>
          <w:lang w:eastAsia="en-US"/>
        </w:rPr>
        <w:t xml:space="preserve"> </w:t>
      </w:r>
    </w:p>
    <w:p w:rsidR="004C3642" w:rsidRDefault="00433190" w:rsidP="00F46AF5">
      <w:pPr>
        <w:pStyle w:val="Default"/>
        <w:numPr>
          <w:ilvl w:val="1"/>
          <w:numId w:val="1"/>
        </w:numPr>
        <w:spacing w:before="240" w:after="80"/>
        <w:ind w:left="714" w:hanging="420"/>
        <w:jc w:val="both"/>
        <w:rPr>
          <w:bCs/>
          <w:sz w:val="22"/>
          <w:szCs w:val="22"/>
        </w:rPr>
      </w:pPr>
      <w:r>
        <w:rPr>
          <w:bCs/>
          <w:sz w:val="22"/>
          <w:szCs w:val="22"/>
        </w:rPr>
        <w:t>S</w:t>
      </w:r>
      <w:r w:rsidR="004C3642" w:rsidRPr="004C3642">
        <w:rPr>
          <w:bCs/>
          <w:sz w:val="22"/>
          <w:szCs w:val="22"/>
        </w:rPr>
        <w:t xml:space="preserve">e recibieron comentarios relacionados </w:t>
      </w:r>
      <w:r w:rsidR="00C4538B">
        <w:rPr>
          <w:bCs/>
          <w:sz w:val="22"/>
          <w:szCs w:val="22"/>
        </w:rPr>
        <w:t>con e</w:t>
      </w:r>
      <w:r w:rsidR="004C3642" w:rsidRPr="004C3642">
        <w:rPr>
          <w:bCs/>
          <w:sz w:val="22"/>
          <w:szCs w:val="22"/>
        </w:rPr>
        <w:t xml:space="preserve">l mandato para compartir información al que queda condicionada la apertura de la cuenta ordenante, entre los cuales expresaron dudas sobre si dicho mandato debía ser parte del contrato de nómina, si debía ser un documento independiente </w:t>
      </w:r>
      <w:r w:rsidR="00453B1D" w:rsidRPr="00433190">
        <w:rPr>
          <w:bCs/>
          <w:sz w:val="22"/>
          <w:szCs w:val="22"/>
        </w:rPr>
        <w:t>y</w:t>
      </w:r>
      <w:r w:rsidR="004C3642" w:rsidRPr="00433190">
        <w:rPr>
          <w:bCs/>
          <w:sz w:val="22"/>
          <w:szCs w:val="22"/>
        </w:rPr>
        <w:t xml:space="preserve"> si deb</w:t>
      </w:r>
      <w:r w:rsidR="00453B1D" w:rsidRPr="00433190">
        <w:rPr>
          <w:bCs/>
          <w:sz w:val="22"/>
          <w:szCs w:val="22"/>
        </w:rPr>
        <w:t xml:space="preserve">ía realizarse </w:t>
      </w:r>
      <w:r w:rsidR="004C3642" w:rsidRPr="00433190">
        <w:rPr>
          <w:bCs/>
          <w:sz w:val="22"/>
          <w:szCs w:val="22"/>
        </w:rPr>
        <w:t>ante 2 testigos, privado</w:t>
      </w:r>
      <w:r w:rsidR="00453B1D" w:rsidRPr="00433190">
        <w:rPr>
          <w:bCs/>
          <w:sz w:val="22"/>
          <w:szCs w:val="22"/>
        </w:rPr>
        <w:t xml:space="preserve"> o</w:t>
      </w:r>
      <w:r w:rsidR="004C3642" w:rsidRPr="00433190">
        <w:rPr>
          <w:bCs/>
          <w:sz w:val="22"/>
          <w:szCs w:val="22"/>
        </w:rPr>
        <w:t xml:space="preserve"> ante fe pública</w:t>
      </w:r>
      <w:r w:rsidR="004C3642" w:rsidRPr="004C3642">
        <w:rPr>
          <w:bCs/>
          <w:sz w:val="22"/>
          <w:szCs w:val="22"/>
        </w:rPr>
        <w:t>.</w:t>
      </w:r>
    </w:p>
    <w:p w:rsidR="00F22CD5" w:rsidRDefault="007C0C0F" w:rsidP="00F46AF5">
      <w:pPr>
        <w:pStyle w:val="Default"/>
        <w:spacing w:after="80"/>
        <w:ind w:left="567" w:firstLine="141"/>
        <w:jc w:val="both"/>
        <w:rPr>
          <w:bCs/>
          <w:i/>
          <w:sz w:val="22"/>
          <w:szCs w:val="22"/>
        </w:rPr>
      </w:pPr>
      <w:r>
        <w:rPr>
          <w:b/>
          <w:color w:val="00B050"/>
          <w:sz w:val="22"/>
        </w:rPr>
        <w:t>Opinión</w:t>
      </w:r>
      <w:r w:rsidR="00F22CD5" w:rsidRPr="005E63C2">
        <w:rPr>
          <w:b/>
          <w:color w:val="00B050"/>
          <w:sz w:val="22"/>
        </w:rPr>
        <w:t xml:space="preserve"> del Banco de México</w:t>
      </w:r>
      <w:r w:rsidR="00F22CD5" w:rsidRPr="003F0AD7">
        <w:rPr>
          <w:bCs/>
          <w:i/>
          <w:sz w:val="22"/>
          <w:szCs w:val="22"/>
        </w:rPr>
        <w:t xml:space="preserve"> </w:t>
      </w:r>
    </w:p>
    <w:p w:rsidR="00453B1D" w:rsidRPr="004C3642" w:rsidRDefault="003F0AD7" w:rsidP="00F46AF5">
      <w:pPr>
        <w:pStyle w:val="Default"/>
        <w:spacing w:after="80"/>
        <w:ind w:left="708"/>
        <w:jc w:val="both"/>
        <w:rPr>
          <w:bCs/>
          <w:sz w:val="22"/>
          <w:szCs w:val="22"/>
        </w:rPr>
      </w:pPr>
      <w:r w:rsidRPr="003F0AD7">
        <w:rPr>
          <w:bCs/>
          <w:i/>
          <w:sz w:val="22"/>
          <w:szCs w:val="22"/>
        </w:rPr>
        <w:t>No se prevé un documento estandarizado para obtener el consentimiento del cliente de tal forma que mientras el Banco de México no dé a conocer un formato o mayor especificación</w:t>
      </w:r>
      <w:r w:rsidR="00EC0AA6">
        <w:rPr>
          <w:bCs/>
          <w:i/>
          <w:sz w:val="22"/>
          <w:szCs w:val="22"/>
        </w:rPr>
        <w:t>,</w:t>
      </w:r>
      <w:r w:rsidRPr="003F0AD7">
        <w:rPr>
          <w:bCs/>
          <w:i/>
          <w:sz w:val="22"/>
          <w:szCs w:val="22"/>
        </w:rPr>
        <w:t xml:space="preserve"> las instituciones en lo individual establecerán la forma como recabarán el consentimiento del cliente</w:t>
      </w:r>
      <w:r w:rsidR="00EC0AA6">
        <w:rPr>
          <w:bCs/>
          <w:i/>
          <w:sz w:val="22"/>
          <w:szCs w:val="22"/>
        </w:rPr>
        <w:t xml:space="preserve"> dejando </w:t>
      </w:r>
      <w:r w:rsidRPr="003F0AD7">
        <w:rPr>
          <w:bCs/>
          <w:i/>
          <w:sz w:val="22"/>
          <w:szCs w:val="22"/>
        </w:rPr>
        <w:t xml:space="preserve">constancia de ello para efectos de supervisión y mecanismos de controversias </w:t>
      </w:r>
      <w:r w:rsidR="00EC0AA6">
        <w:rPr>
          <w:bCs/>
          <w:i/>
          <w:sz w:val="22"/>
          <w:szCs w:val="22"/>
        </w:rPr>
        <w:t>para fines de</w:t>
      </w:r>
      <w:r w:rsidRPr="003F0AD7">
        <w:rPr>
          <w:bCs/>
          <w:i/>
          <w:sz w:val="22"/>
          <w:szCs w:val="22"/>
        </w:rPr>
        <w:t xml:space="preserve"> protección del cliente. Respecto al momento</w:t>
      </w:r>
      <w:r w:rsidR="00EC0AA6">
        <w:rPr>
          <w:bCs/>
          <w:i/>
          <w:sz w:val="22"/>
          <w:szCs w:val="22"/>
        </w:rPr>
        <w:t xml:space="preserve"> en el cual sucede el mandato</w:t>
      </w:r>
      <w:r w:rsidRPr="003F0AD7">
        <w:rPr>
          <w:bCs/>
          <w:i/>
          <w:sz w:val="22"/>
          <w:szCs w:val="22"/>
        </w:rPr>
        <w:t>, este deberá ser</w:t>
      </w:r>
      <w:r w:rsidR="00EC0AA6">
        <w:rPr>
          <w:bCs/>
          <w:i/>
          <w:sz w:val="22"/>
          <w:szCs w:val="22"/>
        </w:rPr>
        <w:t xml:space="preserve">, como lo establece </w:t>
      </w:r>
      <w:r w:rsidRPr="003F0AD7">
        <w:rPr>
          <w:bCs/>
          <w:i/>
          <w:sz w:val="22"/>
          <w:szCs w:val="22"/>
        </w:rPr>
        <w:t>la fracción II del artículo 22 Bis</w:t>
      </w:r>
      <w:r w:rsidR="00BC1254">
        <w:rPr>
          <w:bCs/>
          <w:i/>
          <w:sz w:val="22"/>
          <w:szCs w:val="22"/>
        </w:rPr>
        <w:t xml:space="preserve"> 1</w:t>
      </w:r>
      <w:r w:rsidR="00EC0AA6">
        <w:rPr>
          <w:bCs/>
          <w:i/>
          <w:sz w:val="22"/>
          <w:szCs w:val="22"/>
        </w:rPr>
        <w:t>, al momento de la apertura de la cuenta ordenante por parte del cliente</w:t>
      </w:r>
      <w:r w:rsidRPr="003F0AD7">
        <w:rPr>
          <w:bCs/>
          <w:i/>
          <w:sz w:val="22"/>
          <w:szCs w:val="22"/>
        </w:rPr>
        <w:t>.</w:t>
      </w:r>
    </w:p>
    <w:p w:rsidR="00A507E1" w:rsidRPr="00BD4569" w:rsidRDefault="00EB57F4" w:rsidP="00F46AF5">
      <w:pPr>
        <w:pStyle w:val="Default"/>
        <w:numPr>
          <w:ilvl w:val="1"/>
          <w:numId w:val="1"/>
        </w:numPr>
        <w:spacing w:before="240" w:after="80"/>
        <w:ind w:left="714" w:hanging="406"/>
        <w:jc w:val="both"/>
        <w:rPr>
          <w:bCs/>
          <w:sz w:val="22"/>
          <w:szCs w:val="22"/>
        </w:rPr>
      </w:pPr>
      <w:r>
        <w:rPr>
          <w:bCs/>
          <w:sz w:val="22"/>
          <w:szCs w:val="22"/>
        </w:rPr>
        <w:t>Respecto de</w:t>
      </w:r>
      <w:r w:rsidR="00A507E1" w:rsidRPr="00BD4569">
        <w:rPr>
          <w:bCs/>
          <w:sz w:val="22"/>
          <w:szCs w:val="22"/>
        </w:rPr>
        <w:t xml:space="preserve"> la información que será compartida al amparo de dicho mandato, se ha señalado que el RFC no es un requisito para la apertura de una cuenta de una persona física según las Disposiciones </w:t>
      </w:r>
      <w:r w:rsidR="00C4538B">
        <w:rPr>
          <w:bCs/>
          <w:sz w:val="22"/>
          <w:szCs w:val="22"/>
        </w:rPr>
        <w:t xml:space="preserve">de carácter general </w:t>
      </w:r>
      <w:r w:rsidR="00A507E1" w:rsidRPr="00BD4569">
        <w:rPr>
          <w:bCs/>
          <w:sz w:val="22"/>
          <w:szCs w:val="22"/>
        </w:rPr>
        <w:t xml:space="preserve">a que se refiere el artículo 115 de la Ley de Instituciones de </w:t>
      </w:r>
      <w:r w:rsidR="00BD20EB" w:rsidRPr="00BD4569">
        <w:rPr>
          <w:bCs/>
          <w:sz w:val="22"/>
          <w:szCs w:val="22"/>
        </w:rPr>
        <w:t xml:space="preserve">Crédito </w:t>
      </w:r>
      <w:r w:rsidR="00A507E1" w:rsidRPr="00BD4569">
        <w:rPr>
          <w:bCs/>
          <w:sz w:val="22"/>
          <w:szCs w:val="22"/>
        </w:rPr>
        <w:t>y se cuestionó si es el CURP o el RFC debe compartir</w:t>
      </w:r>
      <w:r w:rsidR="00945FC1">
        <w:rPr>
          <w:bCs/>
          <w:sz w:val="22"/>
          <w:szCs w:val="22"/>
        </w:rPr>
        <w:t>se</w:t>
      </w:r>
      <w:r w:rsidR="00A507E1" w:rsidRPr="00BD4569">
        <w:rPr>
          <w:bCs/>
          <w:sz w:val="22"/>
          <w:szCs w:val="22"/>
        </w:rPr>
        <w:t xml:space="preserve"> para consultar si el cuentahabiente tiene una cuenta en otro banco.</w:t>
      </w:r>
    </w:p>
    <w:p w:rsidR="00F22CD5" w:rsidRDefault="007C0C0F" w:rsidP="00F46AF5">
      <w:pPr>
        <w:pStyle w:val="Default"/>
        <w:spacing w:after="80"/>
        <w:ind w:left="567" w:firstLine="141"/>
        <w:jc w:val="both"/>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p>
    <w:p w:rsidR="00A507E1" w:rsidRDefault="00A507E1" w:rsidP="00F46AF5">
      <w:pPr>
        <w:pStyle w:val="Default"/>
        <w:spacing w:after="80"/>
        <w:ind w:left="708"/>
        <w:jc w:val="both"/>
        <w:rPr>
          <w:rFonts w:eastAsiaTheme="majorEastAsia"/>
          <w:i/>
          <w:sz w:val="22"/>
          <w:szCs w:val="22"/>
          <w:lang w:eastAsia="en-US"/>
        </w:rPr>
      </w:pPr>
      <w:r w:rsidRPr="00820537">
        <w:rPr>
          <w:rFonts w:eastAsiaTheme="majorEastAsia"/>
          <w:i/>
          <w:sz w:val="22"/>
          <w:szCs w:val="22"/>
          <w:lang w:eastAsia="en-US"/>
        </w:rPr>
        <w:t xml:space="preserve">Se </w:t>
      </w:r>
      <w:r w:rsidR="00685A3E">
        <w:rPr>
          <w:rFonts w:eastAsiaTheme="majorEastAsia"/>
          <w:i/>
          <w:sz w:val="22"/>
          <w:szCs w:val="22"/>
          <w:lang w:eastAsia="en-US"/>
        </w:rPr>
        <w:t>aclara que</w:t>
      </w:r>
      <w:r w:rsidR="00BF3A92">
        <w:rPr>
          <w:rFonts w:eastAsiaTheme="majorEastAsia"/>
          <w:i/>
          <w:sz w:val="22"/>
          <w:szCs w:val="22"/>
          <w:lang w:eastAsia="en-US"/>
        </w:rPr>
        <w:t>,</w:t>
      </w:r>
      <w:r w:rsidR="00685A3E">
        <w:rPr>
          <w:rFonts w:eastAsiaTheme="majorEastAsia"/>
          <w:i/>
          <w:sz w:val="22"/>
          <w:szCs w:val="22"/>
          <w:lang w:eastAsia="en-US"/>
        </w:rPr>
        <w:t xml:space="preserve"> </w:t>
      </w:r>
      <w:r w:rsidR="00EB57F4">
        <w:rPr>
          <w:rFonts w:eastAsiaTheme="majorEastAsia"/>
          <w:i/>
          <w:sz w:val="22"/>
          <w:szCs w:val="22"/>
          <w:lang w:eastAsia="en-US"/>
        </w:rPr>
        <w:t>para estar en condiciones de poder realizar transferencias interbancarias, en términos de las reglas del SPEI</w:t>
      </w:r>
      <w:r w:rsidRPr="00820537">
        <w:rPr>
          <w:rFonts w:eastAsiaTheme="majorEastAsia"/>
          <w:i/>
          <w:sz w:val="22"/>
          <w:szCs w:val="22"/>
          <w:lang w:eastAsia="en-US"/>
        </w:rPr>
        <w:t xml:space="preserve"> </w:t>
      </w:r>
      <w:r w:rsidR="00EB57F4">
        <w:rPr>
          <w:rFonts w:eastAsiaTheme="majorEastAsia"/>
          <w:i/>
          <w:sz w:val="22"/>
          <w:szCs w:val="22"/>
          <w:lang w:eastAsia="en-US"/>
        </w:rPr>
        <w:t xml:space="preserve">se </w:t>
      </w:r>
      <w:r w:rsidRPr="00820537">
        <w:rPr>
          <w:rFonts w:eastAsiaTheme="majorEastAsia"/>
          <w:i/>
          <w:sz w:val="22"/>
          <w:szCs w:val="22"/>
          <w:lang w:eastAsia="en-US"/>
        </w:rPr>
        <w:t>establece que</w:t>
      </w:r>
      <w:r w:rsidR="00BD20EB">
        <w:rPr>
          <w:rFonts w:eastAsiaTheme="majorEastAsia"/>
          <w:i/>
          <w:sz w:val="22"/>
          <w:szCs w:val="22"/>
          <w:lang w:eastAsia="en-US"/>
        </w:rPr>
        <w:t>,</w:t>
      </w:r>
      <w:r w:rsidRPr="00820537">
        <w:rPr>
          <w:rFonts w:eastAsiaTheme="majorEastAsia"/>
          <w:i/>
          <w:sz w:val="22"/>
          <w:szCs w:val="22"/>
          <w:lang w:eastAsia="en-US"/>
        </w:rPr>
        <w:t xml:space="preserve"> a partir del 31 de julio de 2018</w:t>
      </w:r>
      <w:r w:rsidR="00BD20EB">
        <w:rPr>
          <w:rFonts w:eastAsiaTheme="majorEastAsia"/>
          <w:i/>
          <w:sz w:val="22"/>
          <w:szCs w:val="22"/>
          <w:lang w:eastAsia="en-US"/>
        </w:rPr>
        <w:t>,</w:t>
      </w:r>
      <w:r w:rsidRPr="00820537">
        <w:rPr>
          <w:rFonts w:eastAsiaTheme="majorEastAsia"/>
          <w:i/>
          <w:sz w:val="22"/>
          <w:szCs w:val="22"/>
          <w:lang w:eastAsia="en-US"/>
        </w:rPr>
        <w:t xml:space="preserve"> el </w:t>
      </w:r>
      <w:r w:rsidR="00BD20EB" w:rsidRPr="00820537">
        <w:rPr>
          <w:rFonts w:eastAsiaTheme="majorEastAsia"/>
          <w:i/>
          <w:sz w:val="22"/>
          <w:szCs w:val="22"/>
          <w:lang w:eastAsia="en-US"/>
        </w:rPr>
        <w:t xml:space="preserve">participante emisor </w:t>
      </w:r>
      <w:r w:rsidR="00BD20EB">
        <w:rPr>
          <w:rFonts w:eastAsiaTheme="majorEastAsia"/>
          <w:i/>
          <w:sz w:val="22"/>
          <w:szCs w:val="22"/>
          <w:lang w:eastAsia="en-US"/>
        </w:rPr>
        <w:t xml:space="preserve">en dicho sistema de pagos, </w:t>
      </w:r>
      <w:r w:rsidRPr="00820537">
        <w:rPr>
          <w:rFonts w:eastAsiaTheme="majorEastAsia"/>
          <w:i/>
          <w:sz w:val="22"/>
          <w:szCs w:val="22"/>
          <w:lang w:eastAsia="en-US"/>
        </w:rPr>
        <w:t>deberá incluir la información de la Clave Única de Registro de Población (CURP) o el Registro Federal de Contribuyentes (RFC) con homoclave para p</w:t>
      </w:r>
      <w:r w:rsidR="00EB57F4">
        <w:rPr>
          <w:rFonts w:eastAsiaTheme="majorEastAsia"/>
          <w:i/>
          <w:sz w:val="22"/>
          <w:szCs w:val="22"/>
          <w:lang w:eastAsia="en-US"/>
        </w:rPr>
        <w:t>ersonas físicas</w:t>
      </w:r>
      <w:r w:rsidR="00BD20EB">
        <w:rPr>
          <w:rFonts w:eastAsiaTheme="majorEastAsia"/>
          <w:i/>
          <w:sz w:val="22"/>
          <w:szCs w:val="22"/>
          <w:lang w:eastAsia="en-US"/>
        </w:rPr>
        <w:t xml:space="preserve">, por lo que </w:t>
      </w:r>
      <w:r w:rsidR="008B5A5C">
        <w:rPr>
          <w:rFonts w:eastAsiaTheme="majorEastAsia"/>
          <w:i/>
          <w:sz w:val="22"/>
          <w:szCs w:val="22"/>
          <w:lang w:eastAsia="en-US"/>
        </w:rPr>
        <w:t>dicho elemento de información obrará en poder de las instituciones</w:t>
      </w:r>
      <w:r w:rsidR="00BD20EB" w:rsidRPr="00820537">
        <w:rPr>
          <w:rFonts w:eastAsiaTheme="majorEastAsia"/>
          <w:i/>
          <w:sz w:val="22"/>
          <w:szCs w:val="22"/>
          <w:lang w:eastAsia="en-US"/>
        </w:rPr>
        <w:t>.</w:t>
      </w:r>
    </w:p>
    <w:p w:rsidR="00C649B8" w:rsidRPr="00820537" w:rsidRDefault="00C649B8" w:rsidP="00433FAE">
      <w:pPr>
        <w:pStyle w:val="Default"/>
        <w:spacing w:after="80"/>
        <w:ind w:left="567"/>
        <w:jc w:val="both"/>
        <w:rPr>
          <w:bCs/>
          <w:i/>
          <w:sz w:val="22"/>
          <w:szCs w:val="22"/>
        </w:rPr>
      </w:pPr>
    </w:p>
    <w:p w:rsidR="00A507E1" w:rsidRPr="007408D8" w:rsidRDefault="00E51C33" w:rsidP="00C649B8">
      <w:pPr>
        <w:pStyle w:val="Ttulo1"/>
        <w:keepLines/>
        <w:numPr>
          <w:ilvl w:val="0"/>
          <w:numId w:val="1"/>
        </w:numPr>
        <w:pBdr>
          <w:left w:val="none" w:sz="0" w:space="0" w:color="auto"/>
          <w:bottom w:val="none" w:sz="0" w:space="0" w:color="auto"/>
          <w:right w:val="none" w:sz="0" w:space="0" w:color="auto"/>
        </w:pBdr>
        <w:spacing w:before="24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w:t>
      </w:r>
      <w:r w:rsidR="00A507E1" w:rsidRPr="007408D8">
        <w:rPr>
          <w:rFonts w:ascii="Cambria" w:eastAsiaTheme="majorEastAsia" w:hAnsi="Cambria" w:cstheme="majorBidi"/>
          <w:bCs w:val="0"/>
          <w:color w:val="365F91"/>
          <w:kern w:val="0"/>
          <w:sz w:val="26"/>
          <w:szCs w:val="26"/>
          <w:lang w:eastAsia="en-US"/>
        </w:rPr>
        <w:t xml:space="preserve"> sobre el mandato de domiciliación</w:t>
      </w:r>
      <w:r w:rsidR="008F00FF" w:rsidRPr="007408D8">
        <w:rPr>
          <w:rFonts w:ascii="Cambria" w:eastAsiaTheme="majorEastAsia" w:hAnsi="Cambria" w:cstheme="majorBidi"/>
          <w:bCs w:val="0"/>
          <w:color w:val="365F91"/>
          <w:kern w:val="0"/>
          <w:sz w:val="26"/>
          <w:szCs w:val="26"/>
          <w:lang w:eastAsia="en-US"/>
        </w:rPr>
        <w:t>.</w:t>
      </w:r>
    </w:p>
    <w:p w:rsidR="001726D6" w:rsidRPr="00C5466B" w:rsidRDefault="001726D6" w:rsidP="00F46AF5">
      <w:pPr>
        <w:pStyle w:val="Default"/>
        <w:numPr>
          <w:ilvl w:val="1"/>
          <w:numId w:val="1"/>
        </w:numPr>
        <w:spacing w:after="80"/>
        <w:ind w:left="714" w:hanging="406"/>
        <w:jc w:val="both"/>
        <w:rPr>
          <w:bCs/>
          <w:sz w:val="22"/>
          <w:szCs w:val="22"/>
        </w:rPr>
      </w:pPr>
      <w:r w:rsidRPr="00C5466B">
        <w:rPr>
          <w:bCs/>
          <w:sz w:val="22"/>
          <w:szCs w:val="22"/>
        </w:rPr>
        <w:t xml:space="preserve">Se presentaron </w:t>
      </w:r>
      <w:r w:rsidR="00C4538B">
        <w:rPr>
          <w:bCs/>
          <w:sz w:val="22"/>
          <w:szCs w:val="22"/>
        </w:rPr>
        <w:t>comentarios</w:t>
      </w:r>
      <w:r w:rsidRPr="00C5466B">
        <w:rPr>
          <w:bCs/>
          <w:sz w:val="22"/>
          <w:szCs w:val="22"/>
        </w:rPr>
        <w:t xml:space="preserve"> respecto a la operación de la domiciliación en caso de que se realicen pagos anticipados. Al respecto,</w:t>
      </w:r>
      <w:r w:rsidR="00945FC1">
        <w:rPr>
          <w:bCs/>
          <w:sz w:val="22"/>
          <w:szCs w:val="22"/>
        </w:rPr>
        <w:t xml:space="preserve"> se cuestionó</w:t>
      </w:r>
      <w:r w:rsidRPr="00C5466B">
        <w:rPr>
          <w:bCs/>
          <w:sz w:val="22"/>
          <w:szCs w:val="22"/>
        </w:rPr>
        <w:t xml:space="preserve"> si es necesario modificar los parámetros de la domiciliación (monto y periodicidad de los pagos), si es necesario pedir de nuevo la firma del cliente, así como la forma en la que el banco acreedor entrega la carta de autorización a la institución que lleva la cuenta ordenante.</w:t>
      </w:r>
    </w:p>
    <w:p w:rsidR="00F22CD5" w:rsidRDefault="007C0C0F" w:rsidP="00F46AF5">
      <w:pPr>
        <w:pStyle w:val="Prrafodelista"/>
        <w:spacing w:after="80"/>
        <w:ind w:left="567" w:firstLine="141"/>
        <w:contextualSpacing w:val="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p>
    <w:p w:rsidR="001726D6" w:rsidRDefault="001726D6" w:rsidP="00F46AF5">
      <w:pPr>
        <w:pStyle w:val="Prrafodelista"/>
        <w:spacing w:after="80"/>
        <w:ind w:left="708" w:firstLine="0"/>
        <w:contextualSpacing w:val="0"/>
        <w:rPr>
          <w:rFonts w:eastAsiaTheme="majorEastAsia"/>
          <w:i/>
          <w:sz w:val="22"/>
          <w:szCs w:val="22"/>
          <w:lang w:eastAsia="en-US"/>
        </w:rPr>
      </w:pPr>
      <w:r>
        <w:rPr>
          <w:rFonts w:eastAsiaTheme="majorEastAsia"/>
          <w:i/>
          <w:sz w:val="22"/>
          <w:szCs w:val="22"/>
          <w:lang w:eastAsia="en-US"/>
        </w:rPr>
        <w:t>Se aclara que es el banco acreedor, con base en el mandato otorgado por el cliente, quien, en su caso, deberá instrumentar a nombre de este</w:t>
      </w:r>
      <w:r w:rsidR="00945FC1">
        <w:rPr>
          <w:rFonts w:eastAsiaTheme="majorEastAsia"/>
          <w:i/>
          <w:sz w:val="22"/>
          <w:szCs w:val="22"/>
          <w:lang w:eastAsia="en-US"/>
        </w:rPr>
        <w:t>,</w:t>
      </w:r>
      <w:r>
        <w:rPr>
          <w:rFonts w:eastAsiaTheme="majorEastAsia"/>
          <w:i/>
          <w:sz w:val="22"/>
          <w:szCs w:val="22"/>
          <w:lang w:eastAsia="en-US"/>
        </w:rPr>
        <w:t xml:space="preserve"> cualquier modificación a los términos en que se realiza la domiciliación previamente establecida</w:t>
      </w:r>
      <w:r w:rsidR="00BC1254">
        <w:rPr>
          <w:rFonts w:eastAsiaTheme="majorEastAsia"/>
          <w:i/>
          <w:sz w:val="22"/>
          <w:szCs w:val="22"/>
          <w:lang w:eastAsia="en-US"/>
        </w:rPr>
        <w:t xml:space="preserve"> (artículo 63 Bis</w:t>
      </w:r>
      <w:r w:rsidR="00F52835">
        <w:rPr>
          <w:rFonts w:eastAsiaTheme="majorEastAsia"/>
          <w:i/>
          <w:sz w:val="22"/>
          <w:szCs w:val="22"/>
          <w:lang w:eastAsia="en-US"/>
        </w:rPr>
        <w:t xml:space="preserve"> </w:t>
      </w:r>
      <w:r w:rsidR="00BC1254">
        <w:rPr>
          <w:rFonts w:eastAsiaTheme="majorEastAsia"/>
          <w:i/>
          <w:sz w:val="22"/>
          <w:szCs w:val="22"/>
          <w:lang w:eastAsia="en-US"/>
        </w:rPr>
        <w:t>1)</w:t>
      </w:r>
      <w:r>
        <w:rPr>
          <w:rFonts w:eastAsiaTheme="majorEastAsia"/>
          <w:i/>
          <w:sz w:val="22"/>
          <w:szCs w:val="22"/>
          <w:lang w:eastAsia="en-US"/>
        </w:rPr>
        <w:t>.</w:t>
      </w:r>
    </w:p>
    <w:p w:rsidR="00453B1D" w:rsidRDefault="001726D6" w:rsidP="00F46AF5">
      <w:pPr>
        <w:pStyle w:val="Default"/>
        <w:numPr>
          <w:ilvl w:val="1"/>
          <w:numId w:val="1"/>
        </w:numPr>
        <w:spacing w:before="240" w:after="80"/>
        <w:ind w:left="714" w:hanging="406"/>
        <w:jc w:val="both"/>
        <w:rPr>
          <w:bCs/>
          <w:sz w:val="22"/>
          <w:szCs w:val="22"/>
        </w:rPr>
      </w:pPr>
      <w:r>
        <w:rPr>
          <w:bCs/>
          <w:sz w:val="22"/>
          <w:szCs w:val="22"/>
        </w:rPr>
        <w:lastRenderedPageBreak/>
        <w:t>Sobre este mismo tema</w:t>
      </w:r>
      <w:r w:rsidR="00453B1D" w:rsidRPr="00453B1D">
        <w:rPr>
          <w:bCs/>
          <w:sz w:val="22"/>
          <w:szCs w:val="22"/>
        </w:rPr>
        <w:t>, se recibieron dudas sobre si se debía utilizar el formato de domiciliación de la Circular 3/2012</w:t>
      </w:r>
      <w:r>
        <w:rPr>
          <w:bCs/>
          <w:sz w:val="22"/>
          <w:szCs w:val="22"/>
        </w:rPr>
        <w:t xml:space="preserve"> para recabar el mandato</w:t>
      </w:r>
      <w:r w:rsidR="00453B1D" w:rsidRPr="00453B1D">
        <w:rPr>
          <w:bCs/>
          <w:sz w:val="22"/>
          <w:szCs w:val="22"/>
        </w:rPr>
        <w:t xml:space="preserve">, y en caso afirmativo, se cuestiona si es posible modificar el contenido de dicho formato. </w:t>
      </w:r>
    </w:p>
    <w:p w:rsidR="00F22CD5" w:rsidRDefault="007C0C0F" w:rsidP="00F46AF5">
      <w:pPr>
        <w:pStyle w:val="Default"/>
        <w:spacing w:after="80"/>
        <w:ind w:left="567" w:firstLine="141"/>
        <w:jc w:val="both"/>
        <w:rPr>
          <w:rFonts w:asciiTheme="minorHAnsi" w:eastAsiaTheme="majorEastAsia" w:hAnsiTheme="minorHAnsi" w:cs="Times New Roman"/>
          <w:i/>
          <w:color w:val="auto"/>
          <w:sz w:val="22"/>
          <w:szCs w:val="22"/>
          <w:lang w:eastAsia="en-US"/>
        </w:rPr>
      </w:pPr>
      <w:r>
        <w:rPr>
          <w:b/>
          <w:color w:val="00B050"/>
          <w:sz w:val="22"/>
        </w:rPr>
        <w:t>Opinión</w:t>
      </w:r>
      <w:r w:rsidR="00F22CD5" w:rsidRPr="005E63C2">
        <w:rPr>
          <w:b/>
          <w:color w:val="00B050"/>
          <w:sz w:val="22"/>
        </w:rPr>
        <w:t xml:space="preserve"> del Banco de México</w:t>
      </w:r>
      <w:r w:rsidR="00F22CD5" w:rsidRPr="00565E4B">
        <w:rPr>
          <w:rFonts w:asciiTheme="minorHAnsi" w:eastAsiaTheme="majorEastAsia" w:hAnsiTheme="minorHAnsi" w:cs="Times New Roman"/>
          <w:i/>
          <w:color w:val="auto"/>
          <w:sz w:val="22"/>
          <w:szCs w:val="22"/>
          <w:lang w:eastAsia="en-US"/>
        </w:rPr>
        <w:t xml:space="preserve"> </w:t>
      </w:r>
    </w:p>
    <w:p w:rsidR="001726D6" w:rsidRPr="00565E4B" w:rsidRDefault="001726D6" w:rsidP="00F46AF5">
      <w:pPr>
        <w:pStyle w:val="Default"/>
        <w:spacing w:after="80"/>
        <w:ind w:left="708"/>
        <w:jc w:val="both"/>
        <w:rPr>
          <w:rFonts w:asciiTheme="minorHAnsi" w:eastAsiaTheme="majorEastAsia" w:hAnsiTheme="minorHAnsi" w:cs="Times New Roman"/>
          <w:i/>
          <w:color w:val="auto"/>
          <w:sz w:val="22"/>
          <w:szCs w:val="22"/>
          <w:lang w:eastAsia="en-US"/>
        </w:rPr>
      </w:pPr>
      <w:r w:rsidRPr="00565E4B">
        <w:rPr>
          <w:rFonts w:asciiTheme="minorHAnsi" w:eastAsiaTheme="majorEastAsia" w:hAnsiTheme="minorHAnsi" w:cs="Times New Roman"/>
          <w:i/>
          <w:color w:val="auto"/>
          <w:sz w:val="22"/>
          <w:szCs w:val="22"/>
          <w:lang w:eastAsia="en-US"/>
        </w:rPr>
        <w:t xml:space="preserve">Se aclara que el mandato de domiciliación será un documento independiente </w:t>
      </w:r>
      <w:r w:rsidR="00945FC1" w:rsidRPr="00565E4B">
        <w:rPr>
          <w:rFonts w:asciiTheme="minorHAnsi" w:eastAsiaTheme="majorEastAsia" w:hAnsiTheme="minorHAnsi" w:cs="Times New Roman"/>
          <w:i/>
          <w:color w:val="auto"/>
          <w:sz w:val="22"/>
          <w:szCs w:val="22"/>
          <w:lang w:eastAsia="en-US"/>
        </w:rPr>
        <w:t xml:space="preserve">del formato de domiciliación, </w:t>
      </w:r>
      <w:r w:rsidRPr="00565E4B">
        <w:rPr>
          <w:rFonts w:asciiTheme="minorHAnsi" w:eastAsiaTheme="majorEastAsia" w:hAnsiTheme="minorHAnsi" w:cs="Times New Roman"/>
          <w:i/>
          <w:color w:val="auto"/>
          <w:sz w:val="22"/>
          <w:szCs w:val="22"/>
          <w:lang w:eastAsia="en-US"/>
        </w:rPr>
        <w:t xml:space="preserve">que le dé facultades a la institución acreedora para gestionar órdenes de domiciliación utilizando el formato </w:t>
      </w:r>
      <w:r w:rsidR="007A51DC" w:rsidRPr="00565E4B">
        <w:rPr>
          <w:rFonts w:asciiTheme="minorHAnsi" w:eastAsiaTheme="majorEastAsia" w:hAnsiTheme="minorHAnsi" w:cs="Times New Roman"/>
          <w:i/>
          <w:color w:val="auto"/>
          <w:sz w:val="22"/>
          <w:szCs w:val="22"/>
          <w:lang w:eastAsia="en-US"/>
        </w:rPr>
        <w:t xml:space="preserve">atendiendo a lo señalado en el Artículo 64 </w:t>
      </w:r>
      <w:r w:rsidRPr="00565E4B">
        <w:rPr>
          <w:rFonts w:asciiTheme="minorHAnsi" w:eastAsiaTheme="majorEastAsia" w:hAnsiTheme="minorHAnsi" w:cs="Times New Roman"/>
          <w:i/>
          <w:color w:val="auto"/>
          <w:sz w:val="22"/>
          <w:szCs w:val="22"/>
          <w:lang w:eastAsia="en-US"/>
        </w:rPr>
        <w:t xml:space="preserve">de la </w:t>
      </w:r>
      <w:r w:rsidR="007A51DC" w:rsidRPr="00565E4B">
        <w:rPr>
          <w:rFonts w:asciiTheme="minorHAnsi" w:eastAsiaTheme="majorEastAsia" w:hAnsiTheme="minorHAnsi" w:cs="Times New Roman"/>
          <w:i/>
          <w:color w:val="auto"/>
          <w:sz w:val="22"/>
          <w:szCs w:val="22"/>
          <w:lang w:eastAsia="en-US"/>
        </w:rPr>
        <w:t>C</w:t>
      </w:r>
      <w:r w:rsidRPr="00565E4B">
        <w:rPr>
          <w:rFonts w:asciiTheme="minorHAnsi" w:eastAsiaTheme="majorEastAsia" w:hAnsiTheme="minorHAnsi" w:cs="Times New Roman"/>
          <w:i/>
          <w:color w:val="auto"/>
          <w:sz w:val="22"/>
          <w:szCs w:val="22"/>
          <w:lang w:eastAsia="en-US"/>
        </w:rPr>
        <w:t>ircular 3/2012</w:t>
      </w:r>
      <w:r w:rsidR="00945FC1" w:rsidRPr="00565E4B">
        <w:rPr>
          <w:rFonts w:asciiTheme="minorHAnsi" w:eastAsiaTheme="majorEastAsia" w:hAnsiTheme="minorHAnsi" w:cs="Times New Roman"/>
          <w:i/>
          <w:color w:val="auto"/>
          <w:sz w:val="22"/>
          <w:szCs w:val="22"/>
          <w:lang w:eastAsia="en-US"/>
        </w:rPr>
        <w:t xml:space="preserve"> y</w:t>
      </w:r>
      <w:r w:rsidRPr="00565E4B">
        <w:rPr>
          <w:rFonts w:asciiTheme="minorHAnsi" w:eastAsiaTheme="majorEastAsia" w:hAnsiTheme="minorHAnsi" w:cs="Times New Roman"/>
          <w:i/>
          <w:color w:val="auto"/>
          <w:sz w:val="22"/>
          <w:szCs w:val="22"/>
          <w:lang w:eastAsia="en-US"/>
        </w:rPr>
        <w:t xml:space="preserve"> </w:t>
      </w:r>
      <w:r w:rsidR="007A51DC" w:rsidRPr="00565E4B">
        <w:rPr>
          <w:rFonts w:asciiTheme="minorHAnsi" w:eastAsiaTheme="majorEastAsia" w:hAnsiTheme="minorHAnsi" w:cs="Times New Roman"/>
          <w:i/>
          <w:color w:val="auto"/>
          <w:sz w:val="22"/>
          <w:szCs w:val="22"/>
          <w:lang w:eastAsia="en-US"/>
        </w:rPr>
        <w:t>firmando</w:t>
      </w:r>
      <w:r w:rsidRPr="00565E4B">
        <w:rPr>
          <w:rFonts w:asciiTheme="minorHAnsi" w:eastAsiaTheme="majorEastAsia" w:hAnsiTheme="minorHAnsi" w:cs="Times New Roman"/>
          <w:i/>
          <w:color w:val="auto"/>
          <w:sz w:val="22"/>
          <w:szCs w:val="22"/>
          <w:lang w:eastAsia="en-US"/>
        </w:rPr>
        <w:t xml:space="preserve"> a nombre y por cuenta del acreditado con apoyo del mandato que le haya sido otorgado. </w:t>
      </w:r>
    </w:p>
    <w:p w:rsidR="00453B1D" w:rsidRPr="00536F3F" w:rsidRDefault="00536F3F" w:rsidP="00F46AF5">
      <w:pPr>
        <w:pStyle w:val="Default"/>
        <w:numPr>
          <w:ilvl w:val="1"/>
          <w:numId w:val="1"/>
        </w:numPr>
        <w:spacing w:before="240" w:after="80"/>
        <w:ind w:left="714" w:hanging="392"/>
        <w:jc w:val="both"/>
        <w:rPr>
          <w:bCs/>
          <w:sz w:val="22"/>
          <w:szCs w:val="22"/>
        </w:rPr>
      </w:pPr>
      <w:r w:rsidRPr="00536F3F">
        <w:rPr>
          <w:bCs/>
          <w:sz w:val="22"/>
          <w:szCs w:val="22"/>
        </w:rPr>
        <w:t>En relación al formato de domiciliación se cuestionó si el campo del monto máximo fijo continuaba aplicando, incluso se presentaron algun</w:t>
      </w:r>
      <w:r w:rsidR="00C4538B">
        <w:rPr>
          <w:bCs/>
          <w:sz w:val="22"/>
          <w:szCs w:val="22"/>
        </w:rPr>
        <w:t>o</w:t>
      </w:r>
      <w:r w:rsidRPr="00536F3F">
        <w:rPr>
          <w:bCs/>
          <w:sz w:val="22"/>
          <w:szCs w:val="22"/>
        </w:rPr>
        <w:t xml:space="preserve">s </w:t>
      </w:r>
      <w:r w:rsidR="00C4538B">
        <w:rPr>
          <w:bCs/>
          <w:sz w:val="22"/>
          <w:szCs w:val="22"/>
        </w:rPr>
        <w:t>comentarios</w:t>
      </w:r>
      <w:r w:rsidRPr="00536F3F">
        <w:rPr>
          <w:bCs/>
          <w:sz w:val="22"/>
          <w:szCs w:val="22"/>
        </w:rPr>
        <w:t>, relacionad</w:t>
      </w:r>
      <w:r w:rsidR="00C4538B">
        <w:rPr>
          <w:bCs/>
          <w:sz w:val="22"/>
          <w:szCs w:val="22"/>
        </w:rPr>
        <w:t>o</w:t>
      </w:r>
      <w:r w:rsidRPr="00536F3F">
        <w:rPr>
          <w:bCs/>
          <w:sz w:val="22"/>
          <w:szCs w:val="22"/>
        </w:rPr>
        <w:t xml:space="preserve">s a que no fueran necesarios los formatos para créditos en los que la institución otorgante fuera la misma que lleva la cuenta ordenante, mientras que en otros comentarios se solicitó que se diera mayor claridad y flexibilidad respecto de la forma a través de la cual se recabe el consentimiento del cliente en los procesos de </w:t>
      </w:r>
      <w:r w:rsidR="002B4015">
        <w:rPr>
          <w:bCs/>
          <w:sz w:val="22"/>
          <w:szCs w:val="22"/>
        </w:rPr>
        <w:t>d</w:t>
      </w:r>
      <w:r w:rsidRPr="00536F3F">
        <w:rPr>
          <w:bCs/>
          <w:sz w:val="22"/>
          <w:szCs w:val="22"/>
        </w:rPr>
        <w:t>omiciliación a través de medios electrónicos.</w:t>
      </w:r>
    </w:p>
    <w:p w:rsidR="00F22CD5" w:rsidRDefault="007C0C0F" w:rsidP="00F46AF5">
      <w:pPr>
        <w:pStyle w:val="Default"/>
        <w:spacing w:after="80"/>
        <w:ind w:left="567" w:firstLine="141"/>
        <w:jc w:val="both"/>
        <w:rPr>
          <w:bCs/>
          <w:i/>
          <w:sz w:val="22"/>
          <w:szCs w:val="22"/>
          <w:u w:val="single"/>
        </w:rPr>
      </w:pPr>
      <w:r>
        <w:rPr>
          <w:b/>
          <w:color w:val="00B050"/>
          <w:sz w:val="22"/>
        </w:rPr>
        <w:t>Opinión</w:t>
      </w:r>
      <w:r w:rsidR="00F22CD5" w:rsidRPr="005E63C2">
        <w:rPr>
          <w:b/>
          <w:color w:val="00B050"/>
          <w:sz w:val="22"/>
        </w:rPr>
        <w:t xml:space="preserve"> del Banco de México</w:t>
      </w:r>
    </w:p>
    <w:p w:rsidR="00536F3F" w:rsidRPr="00565E4B" w:rsidRDefault="00536F3F" w:rsidP="00F46AF5">
      <w:pPr>
        <w:pStyle w:val="Default"/>
        <w:spacing w:after="80"/>
        <w:ind w:left="708"/>
        <w:jc w:val="both"/>
        <w:rPr>
          <w:i/>
          <w:sz w:val="22"/>
          <w:szCs w:val="22"/>
        </w:rPr>
      </w:pPr>
      <w:r>
        <w:rPr>
          <w:i/>
          <w:sz w:val="22"/>
          <w:szCs w:val="22"/>
        </w:rPr>
        <w:t>S</w:t>
      </w:r>
      <w:r w:rsidRPr="00536F3F">
        <w:rPr>
          <w:i/>
          <w:sz w:val="22"/>
          <w:szCs w:val="22"/>
        </w:rPr>
        <w:t>e confirma que</w:t>
      </w:r>
      <w:r w:rsidR="007A51DC" w:rsidRPr="007A51DC">
        <w:rPr>
          <w:i/>
          <w:sz w:val="22"/>
          <w:szCs w:val="22"/>
        </w:rPr>
        <w:t xml:space="preserve"> el uso de los formatos de domiciliación son obligatorios como en cualquier otro pago domiciliado, con independencia de que sea una operación interbancaria o dentro del mismo banco y la forma a través de la cual se entregue al banco que lleva la cuenta ordenante el formato de domiciliación deberá hacerse conforme a lo señalado en el artículo 71 de la Circular 3/2012, mismo que establece que las Instituciones que ofrezcan el servicio de domiciliación deberán recibir las solicitudes referidas en sus sucursales y mediante el servicio de banca electrónica que ofrezcan a través de Internet, así como por otros medios que, en su caso, habiliten durante el horario de atención al público, para lo cual deben entregar dicho formato firmado conforme a la leyenda que se especifica en el artículo 63 Bis 1 de la Circular 3/2012.</w:t>
      </w:r>
      <w:r w:rsidRPr="00536F3F">
        <w:rPr>
          <w:i/>
          <w:sz w:val="22"/>
          <w:szCs w:val="22"/>
        </w:rPr>
        <w:t xml:space="preserve"> En todo caso, </w:t>
      </w:r>
      <w:r w:rsidRPr="00565E4B">
        <w:rPr>
          <w:i/>
          <w:sz w:val="22"/>
          <w:szCs w:val="22"/>
        </w:rPr>
        <w:t>para aquellos bancos que busquen recabar el consentimiento de domiciliación, por medios electrónicos, sin que puedan recabar el formato impreso y firmado, se les sugiere presenten una consulta ante este Instituto Central en la que justifiquen la equivalencia entre el formato señalado y el mecanismo que proponen para recabar el consentimiento del cliente</w:t>
      </w:r>
      <w:r w:rsidRPr="00536F3F">
        <w:rPr>
          <w:i/>
          <w:sz w:val="22"/>
          <w:szCs w:val="22"/>
        </w:rPr>
        <w:t xml:space="preserve">. </w:t>
      </w:r>
    </w:p>
    <w:p w:rsidR="00626FB6" w:rsidRDefault="007A51DC" w:rsidP="00F46AF5">
      <w:pPr>
        <w:pStyle w:val="Default"/>
        <w:numPr>
          <w:ilvl w:val="1"/>
          <w:numId w:val="1"/>
        </w:numPr>
        <w:spacing w:before="240" w:after="80"/>
        <w:ind w:left="714" w:hanging="484"/>
        <w:jc w:val="both"/>
        <w:rPr>
          <w:bCs/>
          <w:sz w:val="22"/>
          <w:szCs w:val="22"/>
        </w:rPr>
      </w:pPr>
      <w:r w:rsidRPr="007A51DC">
        <w:rPr>
          <w:bCs/>
          <w:sz w:val="22"/>
          <w:szCs w:val="22"/>
        </w:rPr>
        <w:t>Por último, se cuestionó si el nuevo banco ordenante está obligado a asumir el pago de los créditos que estaban asociados a la nómina anterior sin que el cliente lo haya solicitado expresamente.</w:t>
      </w:r>
    </w:p>
    <w:p w:rsidR="00F22CD5" w:rsidRDefault="007C0C0F" w:rsidP="00F46AF5">
      <w:pPr>
        <w:spacing w:after="160" w:line="259" w:lineRule="auto"/>
        <w:ind w:left="567" w:firstLine="141"/>
        <w:rPr>
          <w:i/>
          <w:sz w:val="22"/>
          <w:szCs w:val="22"/>
        </w:rPr>
      </w:pPr>
      <w:r>
        <w:rPr>
          <w:b/>
          <w:color w:val="00B050"/>
          <w:sz w:val="22"/>
        </w:rPr>
        <w:t>Opinión</w:t>
      </w:r>
      <w:r w:rsidR="00F22CD5" w:rsidRPr="005E63C2">
        <w:rPr>
          <w:b/>
          <w:color w:val="00B050"/>
          <w:sz w:val="22"/>
        </w:rPr>
        <w:t xml:space="preserve"> del Banco de México</w:t>
      </w:r>
    </w:p>
    <w:p w:rsidR="007A51DC" w:rsidRDefault="007A51DC" w:rsidP="00F46AF5">
      <w:pPr>
        <w:spacing w:after="160" w:line="259" w:lineRule="auto"/>
        <w:ind w:left="708" w:firstLine="0"/>
        <w:rPr>
          <w:i/>
          <w:sz w:val="22"/>
          <w:szCs w:val="22"/>
        </w:rPr>
      </w:pPr>
      <w:r>
        <w:rPr>
          <w:i/>
          <w:sz w:val="22"/>
          <w:szCs w:val="22"/>
        </w:rPr>
        <w:t>S</w:t>
      </w:r>
      <w:r w:rsidRPr="007A51DC">
        <w:rPr>
          <w:i/>
          <w:sz w:val="22"/>
          <w:szCs w:val="22"/>
        </w:rPr>
        <w:t>e debe recordar que el banco que otorgó el crédito cuenta con un mandato del cliente para tramitar domiciliaciones a cuenta y por nombre del acreditado, por lo que</w:t>
      </w:r>
      <w:r w:rsidR="002B4015">
        <w:rPr>
          <w:i/>
          <w:sz w:val="22"/>
          <w:szCs w:val="22"/>
        </w:rPr>
        <w:t>,</w:t>
      </w:r>
      <w:r w:rsidRPr="007A51DC">
        <w:rPr>
          <w:i/>
          <w:sz w:val="22"/>
          <w:szCs w:val="22"/>
        </w:rPr>
        <w:t xml:space="preserve"> en caso de que la nómina sea cambiada de banco, el banco que otorgó el CAN podrá tramitar la domiciliación, ante </w:t>
      </w:r>
      <w:r w:rsidRPr="007A51DC">
        <w:rPr>
          <w:i/>
          <w:sz w:val="22"/>
          <w:szCs w:val="22"/>
        </w:rPr>
        <w:lastRenderedPageBreak/>
        <w:t>el nuevo banco ordenante, de los créditos que eran pagados por el banco ordenante anterior, teniéndose una solicitud expresa del cliente generada a través del mandato otorgado por el mismo</w:t>
      </w:r>
      <w:r w:rsidR="00BC1254">
        <w:rPr>
          <w:i/>
          <w:sz w:val="22"/>
          <w:szCs w:val="22"/>
        </w:rPr>
        <w:t xml:space="preserve"> (artículo 63 Bis)</w:t>
      </w:r>
      <w:r w:rsidRPr="007A51DC">
        <w:rPr>
          <w:i/>
          <w:sz w:val="22"/>
          <w:szCs w:val="22"/>
        </w:rPr>
        <w:t>.</w:t>
      </w:r>
    </w:p>
    <w:p w:rsidR="00C649B8" w:rsidRDefault="00C649B8" w:rsidP="007A51DC">
      <w:pPr>
        <w:spacing w:after="160" w:line="259" w:lineRule="auto"/>
        <w:ind w:left="567" w:firstLine="0"/>
        <w:rPr>
          <w:rFonts w:eastAsiaTheme="majorEastAsia"/>
          <w:i/>
          <w:sz w:val="22"/>
          <w:szCs w:val="22"/>
          <w:lang w:eastAsia="en-US"/>
        </w:rPr>
      </w:pPr>
    </w:p>
    <w:p w:rsidR="000772B9"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w:t>
      </w:r>
      <w:r w:rsidR="00577900" w:rsidRPr="007408D8">
        <w:rPr>
          <w:rFonts w:ascii="Cambria" w:eastAsiaTheme="majorEastAsia" w:hAnsi="Cambria" w:cstheme="majorBidi"/>
          <w:bCs w:val="0"/>
          <w:color w:val="365F91"/>
          <w:kern w:val="0"/>
          <w:sz w:val="26"/>
          <w:szCs w:val="26"/>
          <w:lang w:eastAsia="en-US"/>
        </w:rPr>
        <w:t xml:space="preserve"> relacionados con la cancelación del</w:t>
      </w:r>
      <w:r w:rsidR="008F00FF" w:rsidRPr="007408D8">
        <w:rPr>
          <w:rFonts w:ascii="Cambria" w:eastAsiaTheme="majorEastAsia" w:hAnsi="Cambria" w:cstheme="majorBidi"/>
          <w:bCs w:val="0"/>
          <w:color w:val="365F91"/>
          <w:kern w:val="0"/>
          <w:sz w:val="26"/>
          <w:szCs w:val="26"/>
          <w:lang w:eastAsia="en-US"/>
        </w:rPr>
        <w:t xml:space="preserve"> mandato que otorga el cliente.</w:t>
      </w:r>
    </w:p>
    <w:p w:rsidR="00923187" w:rsidRPr="00BD4569" w:rsidRDefault="007A51DC" w:rsidP="00F46AF5">
      <w:pPr>
        <w:pStyle w:val="Default"/>
        <w:numPr>
          <w:ilvl w:val="1"/>
          <w:numId w:val="1"/>
        </w:numPr>
        <w:spacing w:before="240" w:after="80"/>
        <w:ind w:left="700" w:hanging="448"/>
        <w:jc w:val="both"/>
        <w:rPr>
          <w:bCs/>
          <w:sz w:val="22"/>
          <w:szCs w:val="22"/>
        </w:rPr>
      </w:pPr>
      <w:r w:rsidRPr="00B824DA">
        <w:rPr>
          <w:sz w:val="22"/>
          <w:szCs w:val="22"/>
        </w:rPr>
        <w:t>Sobre la restricción que se establece en las disposiciones para aquellos casos en los que el cliente cancele la domiciliación del pago del CAN, la cual señala que la institución que lleva la Cuenta Ordenante debe abstenerse de celebrar con el cuentahabiente un nuevo C</w:t>
      </w:r>
      <w:r w:rsidR="00BF3A92">
        <w:rPr>
          <w:sz w:val="22"/>
          <w:szCs w:val="22"/>
        </w:rPr>
        <w:t>AN</w:t>
      </w:r>
      <w:r w:rsidRPr="00B824DA">
        <w:rPr>
          <w:sz w:val="22"/>
          <w:szCs w:val="22"/>
        </w:rPr>
        <w:t xml:space="preserve"> o aceptar la </w:t>
      </w:r>
      <w:r w:rsidR="00BF3A92">
        <w:rPr>
          <w:sz w:val="22"/>
          <w:szCs w:val="22"/>
        </w:rPr>
        <w:t>d</w:t>
      </w:r>
      <w:r w:rsidRPr="00B824DA">
        <w:rPr>
          <w:sz w:val="22"/>
          <w:szCs w:val="22"/>
        </w:rPr>
        <w:t>omiciliación de algún otro crédito, préstamo o financiamiento ofrecido con la intención de quedar designado como C</w:t>
      </w:r>
      <w:r w:rsidR="00BF3A92">
        <w:rPr>
          <w:sz w:val="22"/>
          <w:szCs w:val="22"/>
        </w:rPr>
        <w:t>AN</w:t>
      </w:r>
      <w:r w:rsidRPr="00B824DA">
        <w:rPr>
          <w:sz w:val="22"/>
          <w:szCs w:val="22"/>
        </w:rPr>
        <w:t xml:space="preserve">, por un plazo de 12 meses, se presentaron algunas opiniones </w:t>
      </w:r>
      <w:r w:rsidR="00A361DE">
        <w:rPr>
          <w:sz w:val="22"/>
          <w:szCs w:val="22"/>
        </w:rPr>
        <w:t>entre las cuales s</w:t>
      </w:r>
      <w:r w:rsidR="001E53FA" w:rsidRPr="00BD4569">
        <w:rPr>
          <w:bCs/>
          <w:sz w:val="22"/>
          <w:szCs w:val="22"/>
        </w:rPr>
        <w:t xml:space="preserve">e </w:t>
      </w:r>
      <w:r w:rsidR="00923187" w:rsidRPr="00BD4569">
        <w:rPr>
          <w:bCs/>
          <w:sz w:val="22"/>
          <w:szCs w:val="22"/>
        </w:rPr>
        <w:t xml:space="preserve">cuestionó la efectividad de la restricción </w:t>
      </w:r>
      <w:r w:rsidR="00565E4B">
        <w:rPr>
          <w:bCs/>
          <w:sz w:val="22"/>
          <w:szCs w:val="22"/>
        </w:rPr>
        <w:t>descrita</w:t>
      </w:r>
      <w:r w:rsidR="00923187" w:rsidRPr="00BD4569">
        <w:rPr>
          <w:bCs/>
          <w:sz w:val="22"/>
          <w:szCs w:val="22"/>
        </w:rPr>
        <w:t xml:space="preserve"> toda vez que no resarce a la institución acreedora y tampoco impide que el cliente contrate otros créditos con terceros, incluyendo el sector informal, y a</w:t>
      </w:r>
      <w:r w:rsidR="00565E4B">
        <w:rPr>
          <w:bCs/>
          <w:sz w:val="22"/>
          <w:szCs w:val="22"/>
        </w:rPr>
        <w:t>dicionan</w:t>
      </w:r>
      <w:r w:rsidR="00923187" w:rsidRPr="00BD4569">
        <w:rPr>
          <w:bCs/>
          <w:sz w:val="22"/>
          <w:szCs w:val="22"/>
        </w:rPr>
        <w:t xml:space="preserve"> que esto afecta el derecho de las instituciones de ofrecer créditos de nómina por 12 meses. </w:t>
      </w:r>
    </w:p>
    <w:p w:rsidR="001E53FA" w:rsidRDefault="00EA2CAE" w:rsidP="00F46AF5">
      <w:pPr>
        <w:spacing w:after="80"/>
        <w:ind w:left="700" w:firstLine="0"/>
        <w:rPr>
          <w:sz w:val="22"/>
          <w:szCs w:val="22"/>
        </w:rPr>
      </w:pPr>
      <w:r>
        <w:rPr>
          <w:rFonts w:ascii="Calibri" w:hAnsi="Calibri" w:cs="Calibri"/>
          <w:color w:val="000000"/>
          <w:sz w:val="22"/>
          <w:szCs w:val="22"/>
        </w:rPr>
        <w:t xml:space="preserve">Asimismo, se </w:t>
      </w:r>
      <w:r w:rsidR="001E53FA" w:rsidRPr="001E53FA">
        <w:rPr>
          <w:rFonts w:ascii="Calibri" w:hAnsi="Calibri" w:cs="Calibri"/>
          <w:color w:val="000000"/>
          <w:sz w:val="22"/>
          <w:szCs w:val="22"/>
        </w:rPr>
        <w:t xml:space="preserve">expresaron dudas sobre la forma y procedimiento para tramitar las cancelaciones a las domiciliaciones, </w:t>
      </w:r>
      <w:r w:rsidR="00775C27">
        <w:rPr>
          <w:rFonts w:ascii="Calibri" w:hAnsi="Calibri" w:cs="Calibri"/>
          <w:color w:val="000000"/>
          <w:sz w:val="22"/>
          <w:szCs w:val="22"/>
        </w:rPr>
        <w:t xml:space="preserve">así como </w:t>
      </w:r>
      <w:r w:rsidR="00923187">
        <w:rPr>
          <w:rFonts w:ascii="Calibri" w:hAnsi="Calibri" w:cs="Calibri"/>
          <w:color w:val="000000"/>
          <w:sz w:val="22"/>
          <w:szCs w:val="22"/>
        </w:rPr>
        <w:t>la necesidad de establecer</w:t>
      </w:r>
      <w:r w:rsidR="001E53FA" w:rsidRPr="001E53FA">
        <w:rPr>
          <w:rFonts w:ascii="Calibri" w:hAnsi="Calibri" w:cs="Calibri"/>
          <w:color w:val="000000"/>
          <w:sz w:val="22"/>
          <w:szCs w:val="22"/>
        </w:rPr>
        <w:t xml:space="preserve"> un proceso de notificación de cancelación de domiciliación entre bancos. </w:t>
      </w:r>
      <w:r w:rsidR="00923187">
        <w:rPr>
          <w:sz w:val="22"/>
          <w:szCs w:val="22"/>
        </w:rPr>
        <w:t>Desde el punto de vista operativo</w:t>
      </w:r>
      <w:r w:rsidR="001E53FA" w:rsidRPr="001E53FA">
        <w:rPr>
          <w:sz w:val="22"/>
          <w:szCs w:val="22"/>
        </w:rPr>
        <w:t xml:space="preserve"> de la cancelación se cuestionó </w:t>
      </w:r>
      <w:r w:rsidR="00923187">
        <w:rPr>
          <w:sz w:val="22"/>
          <w:szCs w:val="22"/>
        </w:rPr>
        <w:t xml:space="preserve">lo </w:t>
      </w:r>
      <w:r w:rsidR="001E53FA" w:rsidRPr="001E53FA">
        <w:rPr>
          <w:sz w:val="22"/>
          <w:szCs w:val="22"/>
        </w:rPr>
        <w:t>que sucedería con un CAN al que se cancela la domiciliación pero que sigue siendo pagado por otros medios y se cuestionó si el formato del anexo 2 para la cancelación de la domiciliación debía presentarse con el banco que otorgó el crédito.</w:t>
      </w:r>
    </w:p>
    <w:p w:rsidR="00F22CD5" w:rsidRDefault="007C0C0F" w:rsidP="00F46AF5">
      <w:pPr>
        <w:spacing w:after="80"/>
        <w:ind w:left="567" w:firstLine="133"/>
        <w:rPr>
          <w:i/>
          <w:sz w:val="22"/>
          <w:szCs w:val="22"/>
        </w:rPr>
      </w:pPr>
      <w:r>
        <w:rPr>
          <w:b/>
          <w:color w:val="00B050"/>
          <w:sz w:val="22"/>
        </w:rPr>
        <w:t>Opinión</w:t>
      </w:r>
      <w:r w:rsidR="00F22CD5" w:rsidRPr="005E63C2">
        <w:rPr>
          <w:b/>
          <w:color w:val="00B050"/>
          <w:sz w:val="22"/>
        </w:rPr>
        <w:t xml:space="preserve"> del Banco de México</w:t>
      </w:r>
      <w:r w:rsidR="00F22CD5" w:rsidRPr="00A361DE">
        <w:rPr>
          <w:i/>
          <w:sz w:val="22"/>
          <w:szCs w:val="22"/>
        </w:rPr>
        <w:t xml:space="preserve"> </w:t>
      </w:r>
    </w:p>
    <w:p w:rsidR="00EA2CAE" w:rsidRDefault="00A361DE" w:rsidP="00F46AF5">
      <w:pPr>
        <w:spacing w:after="80"/>
        <w:ind w:left="700" w:firstLine="0"/>
        <w:rPr>
          <w:i/>
          <w:sz w:val="22"/>
          <w:szCs w:val="22"/>
        </w:rPr>
      </w:pPr>
      <w:r w:rsidRPr="00A361DE">
        <w:rPr>
          <w:i/>
          <w:sz w:val="22"/>
          <w:szCs w:val="22"/>
        </w:rPr>
        <w:t>Respecto a la restricción que se presenta cuando un cliente cancele la domiciliación del pago de CAN, es importante aclarar que el</w:t>
      </w:r>
      <w:r w:rsidR="00557339" w:rsidRPr="00EA2CAE">
        <w:rPr>
          <w:i/>
          <w:sz w:val="22"/>
          <w:szCs w:val="22"/>
        </w:rPr>
        <w:t xml:space="preserve"> espíritu de</w:t>
      </w:r>
      <w:r w:rsidR="00557339">
        <w:rPr>
          <w:i/>
          <w:sz w:val="22"/>
          <w:szCs w:val="22"/>
        </w:rPr>
        <w:t>l</w:t>
      </w:r>
      <w:r w:rsidR="00557339" w:rsidRPr="00EA2CAE">
        <w:rPr>
          <w:i/>
          <w:sz w:val="22"/>
          <w:szCs w:val="22"/>
        </w:rPr>
        <w:t xml:space="preserve"> CAN es </w:t>
      </w:r>
      <w:r w:rsidR="00557339">
        <w:rPr>
          <w:i/>
          <w:sz w:val="22"/>
          <w:szCs w:val="22"/>
        </w:rPr>
        <w:t xml:space="preserve">dar prioridad al </w:t>
      </w:r>
      <w:r w:rsidR="00557339" w:rsidRPr="00EA2CAE">
        <w:rPr>
          <w:i/>
          <w:sz w:val="22"/>
          <w:szCs w:val="22"/>
        </w:rPr>
        <w:t>pago</w:t>
      </w:r>
      <w:r w:rsidR="00557339">
        <w:rPr>
          <w:i/>
          <w:sz w:val="22"/>
          <w:szCs w:val="22"/>
        </w:rPr>
        <w:t xml:space="preserve"> del crédito otorgado</w:t>
      </w:r>
      <w:r w:rsidR="00557339" w:rsidRPr="00EA2CAE">
        <w:rPr>
          <w:i/>
          <w:sz w:val="22"/>
          <w:szCs w:val="22"/>
        </w:rPr>
        <w:t xml:space="preserve"> a la institución </w:t>
      </w:r>
      <w:r w:rsidR="00557339">
        <w:rPr>
          <w:i/>
          <w:sz w:val="22"/>
          <w:szCs w:val="22"/>
        </w:rPr>
        <w:t xml:space="preserve">acreditante, por lo que la disposición </w:t>
      </w:r>
      <w:r w:rsidR="00BD184A" w:rsidRPr="00EA2CAE">
        <w:rPr>
          <w:i/>
          <w:sz w:val="22"/>
          <w:szCs w:val="22"/>
        </w:rPr>
        <w:t xml:space="preserve">establece incentivos para evitar que un cliente cancele </w:t>
      </w:r>
      <w:r w:rsidR="00557339">
        <w:rPr>
          <w:i/>
          <w:sz w:val="22"/>
          <w:szCs w:val="22"/>
        </w:rPr>
        <w:t>el mandato para la</w:t>
      </w:r>
      <w:r w:rsidR="00BD184A" w:rsidRPr="00EA2CAE">
        <w:rPr>
          <w:i/>
          <w:sz w:val="22"/>
          <w:szCs w:val="22"/>
        </w:rPr>
        <w:t xml:space="preserve"> domiciliación</w:t>
      </w:r>
      <w:r w:rsidR="00EC70BE">
        <w:rPr>
          <w:i/>
          <w:sz w:val="22"/>
          <w:szCs w:val="22"/>
        </w:rPr>
        <w:t xml:space="preserve">, </w:t>
      </w:r>
      <w:r w:rsidR="00557339">
        <w:rPr>
          <w:i/>
          <w:sz w:val="22"/>
          <w:szCs w:val="22"/>
        </w:rPr>
        <w:t>y</w:t>
      </w:r>
      <w:r w:rsidR="00EC70BE">
        <w:rPr>
          <w:i/>
          <w:sz w:val="22"/>
          <w:szCs w:val="22"/>
        </w:rPr>
        <w:t>a</w:t>
      </w:r>
      <w:r w:rsidR="00557339">
        <w:rPr>
          <w:i/>
          <w:sz w:val="22"/>
          <w:szCs w:val="22"/>
        </w:rPr>
        <w:t xml:space="preserve"> </w:t>
      </w:r>
      <w:r w:rsidR="00EC70BE">
        <w:rPr>
          <w:i/>
          <w:sz w:val="22"/>
          <w:szCs w:val="22"/>
        </w:rPr>
        <w:t xml:space="preserve">que dicha cancelación podría </w:t>
      </w:r>
      <w:r w:rsidR="00557339">
        <w:rPr>
          <w:i/>
          <w:sz w:val="22"/>
          <w:szCs w:val="22"/>
        </w:rPr>
        <w:t>gener</w:t>
      </w:r>
      <w:r w:rsidR="00EC70BE">
        <w:rPr>
          <w:i/>
          <w:sz w:val="22"/>
          <w:szCs w:val="22"/>
        </w:rPr>
        <w:t>ar</w:t>
      </w:r>
      <w:r w:rsidR="00557339">
        <w:rPr>
          <w:i/>
          <w:sz w:val="22"/>
          <w:szCs w:val="22"/>
        </w:rPr>
        <w:t xml:space="preserve"> incertidumbre sobre el pago de dicho crédito</w:t>
      </w:r>
      <w:r w:rsidR="00EA2CAE" w:rsidRPr="00EA2CAE">
        <w:rPr>
          <w:i/>
          <w:sz w:val="22"/>
          <w:szCs w:val="22"/>
        </w:rPr>
        <w:t>.</w:t>
      </w:r>
      <w:r w:rsidR="00557339">
        <w:rPr>
          <w:i/>
          <w:sz w:val="22"/>
          <w:szCs w:val="22"/>
        </w:rPr>
        <w:t xml:space="preserve"> </w:t>
      </w:r>
    </w:p>
    <w:p w:rsidR="00173392" w:rsidRPr="00EA2CAE" w:rsidRDefault="00EC70BE" w:rsidP="00F46AF5">
      <w:pPr>
        <w:spacing w:after="80"/>
        <w:ind w:left="700" w:firstLine="0"/>
        <w:rPr>
          <w:i/>
          <w:sz w:val="22"/>
          <w:szCs w:val="22"/>
        </w:rPr>
      </w:pPr>
      <w:r>
        <w:rPr>
          <w:i/>
          <w:sz w:val="22"/>
          <w:szCs w:val="22"/>
        </w:rPr>
        <w:t>Asimismo, se aclara que l</w:t>
      </w:r>
      <w:r w:rsidR="00173392" w:rsidRPr="00173392">
        <w:rPr>
          <w:i/>
          <w:sz w:val="22"/>
          <w:szCs w:val="22"/>
        </w:rPr>
        <w:t>a restricción no busca resarcir a la institución ni motivar al cliente a buscar otra fuente de financiamiento con terceros o en el sector informal, ya que si bien se impide a los banco</w:t>
      </w:r>
      <w:r w:rsidR="00DC6805">
        <w:rPr>
          <w:i/>
          <w:sz w:val="22"/>
          <w:szCs w:val="22"/>
        </w:rPr>
        <w:t>s</w:t>
      </w:r>
      <w:r w:rsidR="00173392" w:rsidRPr="00173392">
        <w:rPr>
          <w:i/>
          <w:sz w:val="22"/>
          <w:szCs w:val="22"/>
        </w:rPr>
        <w:t xml:space="preserve"> ofrecer un CAN por 12 meses, no impide que los clientes contraten con la misma institución cualquier tipo de crédito siempre y cuando este no sea designado como CAN, lo cual debería darse bajo condiciones menos favorables, mismas que representan el incentivo del cliente para no cancelar el mandato. Además, debe considerarse que esta restricción requiere del aviso, señalado en la fracción II del artículo 63 Bis 2 por parte de la institución que otorgue el crédito, recordando que dicho aviso está relacionado a una facultad, mas no una obligación, que la regulación da a la institución otorgante del crédito, para estipular en el contrato la posibilidad de rescindir el CAN o incrementar la tasa de interés aplicable </w:t>
      </w:r>
      <w:r w:rsidR="00173392" w:rsidRPr="00173392">
        <w:rPr>
          <w:i/>
          <w:sz w:val="22"/>
          <w:szCs w:val="22"/>
        </w:rPr>
        <w:lastRenderedPageBreak/>
        <w:t>en caso de que se revoque el mandato o cancele la domiciliación, por lo que, en caso de que un cliente cancele la domiciliación pero siga pagando el crédito por otro medio, dependerá del banco que otorga el crédito aplicar las medidas señaladas y por lo tanto generar la restricción de los 12 meses.</w:t>
      </w:r>
    </w:p>
    <w:p w:rsidR="000772B9" w:rsidRDefault="00BD184A" w:rsidP="007E359C">
      <w:pPr>
        <w:pStyle w:val="Default"/>
        <w:spacing w:after="80"/>
        <w:ind w:left="700"/>
        <w:jc w:val="both"/>
        <w:rPr>
          <w:bCs/>
          <w:i/>
          <w:sz w:val="22"/>
          <w:szCs w:val="22"/>
        </w:rPr>
      </w:pPr>
      <w:r>
        <w:rPr>
          <w:bCs/>
          <w:i/>
          <w:sz w:val="22"/>
          <w:szCs w:val="22"/>
        </w:rPr>
        <w:t xml:space="preserve">En relación con </w:t>
      </w:r>
      <w:r w:rsidR="00923187" w:rsidRPr="00923187">
        <w:rPr>
          <w:bCs/>
          <w:i/>
          <w:sz w:val="22"/>
          <w:szCs w:val="22"/>
        </w:rPr>
        <w:t>el coment</w:t>
      </w:r>
      <w:r w:rsidR="00912F17">
        <w:rPr>
          <w:bCs/>
          <w:i/>
          <w:sz w:val="22"/>
          <w:szCs w:val="22"/>
        </w:rPr>
        <w:t>ario sobre</w:t>
      </w:r>
      <w:r w:rsidR="00923187" w:rsidRPr="00923187">
        <w:rPr>
          <w:bCs/>
          <w:i/>
          <w:sz w:val="22"/>
          <w:szCs w:val="22"/>
        </w:rPr>
        <w:t xml:space="preserve"> la falta de un proceso de notificación de cancelación, se considera que </w:t>
      </w:r>
      <w:r>
        <w:rPr>
          <w:bCs/>
          <w:i/>
          <w:sz w:val="22"/>
          <w:szCs w:val="22"/>
        </w:rPr>
        <w:t xml:space="preserve">este </w:t>
      </w:r>
      <w:r w:rsidR="008477DF">
        <w:rPr>
          <w:bCs/>
          <w:i/>
          <w:sz w:val="22"/>
          <w:szCs w:val="22"/>
        </w:rPr>
        <w:t xml:space="preserve">deberá </w:t>
      </w:r>
      <w:r w:rsidR="00923187" w:rsidRPr="00923187">
        <w:rPr>
          <w:bCs/>
          <w:i/>
          <w:sz w:val="22"/>
          <w:szCs w:val="22"/>
        </w:rPr>
        <w:t>ser desarrollado por las instituciones, puesto que está en el interés de las otorgantes de los créditos hacer la notificación correspondiente.</w:t>
      </w:r>
      <w:r w:rsidR="008477DF">
        <w:rPr>
          <w:bCs/>
          <w:i/>
          <w:sz w:val="22"/>
          <w:szCs w:val="22"/>
        </w:rPr>
        <w:t xml:space="preserve"> </w:t>
      </w:r>
      <w:r w:rsidR="002B4015">
        <w:rPr>
          <w:bCs/>
          <w:i/>
          <w:sz w:val="22"/>
          <w:szCs w:val="22"/>
        </w:rPr>
        <w:t>Dicho mecanismo</w:t>
      </w:r>
      <w:r w:rsidR="007E359C">
        <w:rPr>
          <w:bCs/>
          <w:i/>
          <w:sz w:val="22"/>
          <w:szCs w:val="22"/>
        </w:rPr>
        <w:t>, d</w:t>
      </w:r>
      <w:r w:rsidR="002B4015">
        <w:rPr>
          <w:bCs/>
          <w:i/>
          <w:sz w:val="22"/>
          <w:szCs w:val="22"/>
        </w:rPr>
        <w:t xml:space="preserve">eberá ser transparente y </w:t>
      </w:r>
      <w:r w:rsidR="002B4015" w:rsidRPr="002B4015">
        <w:rPr>
          <w:bCs/>
          <w:i/>
          <w:sz w:val="22"/>
          <w:szCs w:val="22"/>
        </w:rPr>
        <w:t xml:space="preserve">no </w:t>
      </w:r>
      <w:r w:rsidR="002B4015">
        <w:rPr>
          <w:bCs/>
          <w:i/>
          <w:sz w:val="22"/>
          <w:szCs w:val="22"/>
        </w:rPr>
        <w:t xml:space="preserve">deberá </w:t>
      </w:r>
      <w:r w:rsidR="002B4015" w:rsidRPr="002B4015">
        <w:rPr>
          <w:bCs/>
          <w:i/>
          <w:sz w:val="22"/>
          <w:szCs w:val="22"/>
        </w:rPr>
        <w:t>restring</w:t>
      </w:r>
      <w:r w:rsidR="002B4015">
        <w:rPr>
          <w:bCs/>
          <w:i/>
          <w:sz w:val="22"/>
          <w:szCs w:val="22"/>
        </w:rPr>
        <w:t>ir o impedir</w:t>
      </w:r>
      <w:r w:rsidR="002B4015" w:rsidRPr="002B4015">
        <w:rPr>
          <w:bCs/>
          <w:i/>
          <w:sz w:val="22"/>
          <w:szCs w:val="22"/>
        </w:rPr>
        <w:t xml:space="preserve"> la participación de las Instituciones en igualdad de circunstancias</w:t>
      </w:r>
      <w:r w:rsidR="002B4015">
        <w:rPr>
          <w:bCs/>
          <w:i/>
          <w:sz w:val="22"/>
          <w:szCs w:val="22"/>
        </w:rPr>
        <w:t>. Sobre el particular,</w:t>
      </w:r>
      <w:r w:rsidR="002B4015" w:rsidRPr="002B4015">
        <w:rPr>
          <w:bCs/>
          <w:i/>
          <w:sz w:val="22"/>
          <w:szCs w:val="22"/>
        </w:rPr>
        <w:t xml:space="preserve"> términos y condiciones </w:t>
      </w:r>
      <w:r w:rsidR="002B4015">
        <w:rPr>
          <w:bCs/>
          <w:i/>
          <w:sz w:val="22"/>
          <w:szCs w:val="22"/>
        </w:rPr>
        <w:t xml:space="preserve">de tal mecanismo </w:t>
      </w:r>
      <w:r w:rsidR="002B4015" w:rsidRPr="002B4015">
        <w:rPr>
          <w:bCs/>
          <w:i/>
          <w:sz w:val="22"/>
          <w:szCs w:val="22"/>
        </w:rPr>
        <w:t>deberán hacer</w:t>
      </w:r>
      <w:r w:rsidR="002B4015">
        <w:rPr>
          <w:bCs/>
          <w:i/>
          <w:sz w:val="22"/>
          <w:szCs w:val="22"/>
        </w:rPr>
        <w:t>se</w:t>
      </w:r>
      <w:r w:rsidR="002B4015" w:rsidRPr="002B4015">
        <w:rPr>
          <w:bCs/>
          <w:i/>
          <w:sz w:val="22"/>
          <w:szCs w:val="22"/>
        </w:rPr>
        <w:t xml:space="preserve"> del conocimiento del Banco de México, de manera previa a su implementación</w:t>
      </w:r>
      <w:r w:rsidR="002034B8">
        <w:rPr>
          <w:bCs/>
          <w:i/>
          <w:sz w:val="22"/>
          <w:szCs w:val="22"/>
        </w:rPr>
        <w:t xml:space="preserve"> (artículo 63 Bis</w:t>
      </w:r>
      <w:r w:rsidR="00F52835">
        <w:rPr>
          <w:bCs/>
          <w:i/>
          <w:sz w:val="22"/>
          <w:szCs w:val="22"/>
        </w:rPr>
        <w:t xml:space="preserve"> </w:t>
      </w:r>
      <w:r w:rsidR="002034B8">
        <w:rPr>
          <w:bCs/>
          <w:i/>
          <w:sz w:val="22"/>
          <w:szCs w:val="22"/>
        </w:rPr>
        <w:t>3)</w:t>
      </w:r>
      <w:r w:rsidR="008477DF">
        <w:rPr>
          <w:bCs/>
          <w:i/>
          <w:sz w:val="22"/>
          <w:szCs w:val="22"/>
        </w:rPr>
        <w:t>.</w:t>
      </w:r>
    </w:p>
    <w:p w:rsidR="00F357E9" w:rsidRDefault="008477DF" w:rsidP="00F46AF5">
      <w:pPr>
        <w:pStyle w:val="Default"/>
        <w:ind w:left="700"/>
        <w:jc w:val="both"/>
        <w:rPr>
          <w:bCs/>
          <w:i/>
          <w:sz w:val="22"/>
          <w:szCs w:val="22"/>
        </w:rPr>
      </w:pPr>
      <w:r>
        <w:rPr>
          <w:bCs/>
          <w:i/>
          <w:sz w:val="22"/>
          <w:szCs w:val="22"/>
        </w:rPr>
        <w:t xml:space="preserve">Por último </w:t>
      </w:r>
      <w:r w:rsidR="00173392" w:rsidRPr="00173392">
        <w:rPr>
          <w:bCs/>
          <w:i/>
          <w:sz w:val="22"/>
          <w:szCs w:val="22"/>
        </w:rPr>
        <w:t>se aclara que la forma y procedimiento para cancelar las domiciliaciones debe apegarse a la operación actual de cualquier domiciliación haciendo uso del formato que se está ajustando en el anexo 2 de la Circular 3/2012.</w:t>
      </w:r>
    </w:p>
    <w:p w:rsidR="00C649B8" w:rsidRPr="00923187" w:rsidRDefault="00C649B8" w:rsidP="005F1F33">
      <w:pPr>
        <w:pStyle w:val="Default"/>
        <w:ind w:left="567"/>
        <w:jc w:val="both"/>
        <w:rPr>
          <w:bCs/>
          <w:i/>
          <w:sz w:val="22"/>
          <w:szCs w:val="22"/>
        </w:rPr>
      </w:pPr>
    </w:p>
    <w:p w:rsidR="00FA080C"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w:t>
      </w:r>
      <w:r w:rsidR="00577900" w:rsidRPr="007408D8">
        <w:rPr>
          <w:rFonts w:ascii="Cambria" w:eastAsiaTheme="majorEastAsia" w:hAnsi="Cambria" w:cstheme="majorBidi"/>
          <w:bCs w:val="0"/>
          <w:color w:val="365F91"/>
          <w:kern w:val="0"/>
          <w:sz w:val="26"/>
          <w:szCs w:val="26"/>
          <w:lang w:eastAsia="en-US"/>
        </w:rPr>
        <w:t xml:space="preserve"> relacionados con una propuesta de mandato irrevoca</w:t>
      </w:r>
      <w:r w:rsidR="008F00FF" w:rsidRPr="007408D8">
        <w:rPr>
          <w:rFonts w:ascii="Cambria" w:eastAsiaTheme="majorEastAsia" w:hAnsi="Cambria" w:cstheme="majorBidi"/>
          <w:bCs w:val="0"/>
          <w:color w:val="365F91"/>
          <w:kern w:val="0"/>
          <w:sz w:val="26"/>
          <w:szCs w:val="26"/>
          <w:lang w:eastAsia="en-US"/>
        </w:rPr>
        <w:t>ble y otros comentarios legales.</w:t>
      </w:r>
    </w:p>
    <w:p w:rsidR="00FA080C" w:rsidRPr="00BD4569" w:rsidRDefault="00FA080C" w:rsidP="00F46AF5">
      <w:pPr>
        <w:pStyle w:val="Default"/>
        <w:numPr>
          <w:ilvl w:val="1"/>
          <w:numId w:val="1"/>
        </w:numPr>
        <w:spacing w:before="240" w:after="80"/>
        <w:ind w:left="700" w:hanging="420"/>
        <w:jc w:val="both"/>
        <w:rPr>
          <w:bCs/>
          <w:sz w:val="22"/>
          <w:szCs w:val="22"/>
        </w:rPr>
      </w:pPr>
      <w:r w:rsidRPr="00BD4569">
        <w:rPr>
          <w:bCs/>
          <w:sz w:val="22"/>
          <w:szCs w:val="22"/>
        </w:rPr>
        <w:t xml:space="preserve">Algunos de los comentarios recibidos indicaron que no debía permitirse la cancelación </w:t>
      </w:r>
      <w:r w:rsidR="00D9244B">
        <w:rPr>
          <w:bCs/>
          <w:sz w:val="22"/>
          <w:szCs w:val="22"/>
        </w:rPr>
        <w:t xml:space="preserve">del mandato, </w:t>
      </w:r>
      <w:r w:rsidR="00173392" w:rsidRPr="00CD4124">
        <w:rPr>
          <w:sz w:val="22"/>
          <w:szCs w:val="22"/>
        </w:rPr>
        <w:t>y la facultad del cliente de designar cuentas para el cobro de los CAN no debía ser declarativa, sino vinculante, por lo anterior en varios comentarios</w:t>
      </w:r>
      <w:r w:rsidR="00173392">
        <w:rPr>
          <w:bCs/>
          <w:sz w:val="22"/>
          <w:szCs w:val="22"/>
        </w:rPr>
        <w:t xml:space="preserve"> </w:t>
      </w:r>
      <w:r w:rsidR="00D9244B">
        <w:rPr>
          <w:bCs/>
          <w:sz w:val="22"/>
          <w:szCs w:val="22"/>
        </w:rPr>
        <w:t xml:space="preserve">sugirieron </w:t>
      </w:r>
      <w:r w:rsidRPr="00BD4569">
        <w:rPr>
          <w:bCs/>
          <w:sz w:val="22"/>
          <w:szCs w:val="22"/>
        </w:rPr>
        <w:t>el uso de un mandato de cobro irrevocable</w:t>
      </w:r>
      <w:r w:rsidR="00173392" w:rsidRPr="00CD4124">
        <w:rPr>
          <w:sz w:val="22"/>
          <w:szCs w:val="22"/>
        </w:rPr>
        <w:t>.</w:t>
      </w:r>
    </w:p>
    <w:p w:rsidR="00F22CD5" w:rsidRDefault="007C0C0F" w:rsidP="00F46AF5">
      <w:pPr>
        <w:spacing w:after="80"/>
        <w:ind w:left="567" w:firstLine="133"/>
        <w:rPr>
          <w:bCs/>
          <w:i/>
          <w:sz w:val="22"/>
          <w:szCs w:val="22"/>
          <w:u w:val="single"/>
        </w:rPr>
      </w:pPr>
      <w:r>
        <w:rPr>
          <w:b/>
          <w:color w:val="00B050"/>
          <w:sz w:val="22"/>
        </w:rPr>
        <w:t>Opinión</w:t>
      </w:r>
      <w:r w:rsidR="00F22CD5" w:rsidRPr="005E63C2">
        <w:rPr>
          <w:b/>
          <w:color w:val="00B050"/>
          <w:sz w:val="22"/>
        </w:rPr>
        <w:t xml:space="preserve"> del Banco de México</w:t>
      </w:r>
    </w:p>
    <w:p w:rsidR="00D9244B" w:rsidRPr="00D9244B" w:rsidRDefault="00D9244B" w:rsidP="00F46AF5">
      <w:pPr>
        <w:spacing w:after="80"/>
        <w:ind w:left="700" w:firstLine="0"/>
        <w:rPr>
          <w:i/>
          <w:iCs/>
          <w:sz w:val="22"/>
          <w:szCs w:val="22"/>
        </w:rPr>
      </w:pPr>
      <w:r>
        <w:rPr>
          <w:bCs/>
          <w:i/>
          <w:sz w:val="22"/>
          <w:szCs w:val="22"/>
        </w:rPr>
        <w:t>En términos del artículo 57 de la Ley de Instituciones de Crédito el cliente puede solicitar la cancelación de la domiciliación a la Institución de Crédito que le lleve su cuenta en cualquier momento por lo que establecer un mandato irrevocable en los términos propuestos contraviene dicha disposición de orden público.</w:t>
      </w:r>
    </w:p>
    <w:p w:rsidR="00577900" w:rsidRPr="00BD4569" w:rsidRDefault="00A038C6" w:rsidP="00F46AF5">
      <w:pPr>
        <w:pStyle w:val="Default"/>
        <w:numPr>
          <w:ilvl w:val="1"/>
          <w:numId w:val="1"/>
        </w:numPr>
        <w:spacing w:before="240" w:after="80"/>
        <w:ind w:left="709" w:hanging="429"/>
        <w:jc w:val="both"/>
        <w:rPr>
          <w:bCs/>
          <w:sz w:val="22"/>
          <w:szCs w:val="22"/>
        </w:rPr>
      </w:pPr>
      <w:r>
        <w:rPr>
          <w:bCs/>
          <w:sz w:val="22"/>
          <w:szCs w:val="22"/>
        </w:rPr>
        <w:t>También se</w:t>
      </w:r>
      <w:r w:rsidR="00FA080C" w:rsidRPr="00BD4569">
        <w:rPr>
          <w:bCs/>
          <w:sz w:val="22"/>
          <w:szCs w:val="22"/>
        </w:rPr>
        <w:t xml:space="preserve"> recibieron </w:t>
      </w:r>
      <w:r w:rsidRPr="00BD4569">
        <w:rPr>
          <w:bCs/>
          <w:sz w:val="22"/>
          <w:szCs w:val="22"/>
        </w:rPr>
        <w:t>solicitudes de aclaración sobre la forma</w:t>
      </w:r>
      <w:r w:rsidR="00FA080C" w:rsidRPr="00BD4569">
        <w:rPr>
          <w:bCs/>
          <w:sz w:val="22"/>
          <w:szCs w:val="22"/>
        </w:rPr>
        <w:t xml:space="preserve"> en que el Banco Ordenante </w:t>
      </w:r>
      <w:r w:rsidR="009A41F4" w:rsidRPr="00BD4569">
        <w:rPr>
          <w:bCs/>
          <w:sz w:val="22"/>
          <w:szCs w:val="22"/>
        </w:rPr>
        <w:t xml:space="preserve">administrará los recursos </w:t>
      </w:r>
      <w:r w:rsidR="00D9244B">
        <w:rPr>
          <w:bCs/>
          <w:sz w:val="22"/>
          <w:szCs w:val="22"/>
        </w:rPr>
        <w:t>para pagar créditos con periodos de</w:t>
      </w:r>
      <w:r w:rsidR="00FA080C" w:rsidRPr="00BD4569">
        <w:rPr>
          <w:bCs/>
          <w:sz w:val="22"/>
          <w:szCs w:val="22"/>
        </w:rPr>
        <w:t xml:space="preserve"> pago </w:t>
      </w:r>
      <w:r w:rsidR="00D9244B">
        <w:rPr>
          <w:bCs/>
          <w:sz w:val="22"/>
          <w:szCs w:val="22"/>
        </w:rPr>
        <w:t xml:space="preserve">distintos </w:t>
      </w:r>
      <w:r w:rsidR="00FA080C" w:rsidRPr="00BD4569">
        <w:rPr>
          <w:bCs/>
          <w:sz w:val="22"/>
          <w:szCs w:val="22"/>
        </w:rPr>
        <w:t>al depósito de la nómina, argumentando que el bloqueo de los recursos para el pago en un futuro no permite a los clientes disponer de sus recursos libremente antes de que sea exigible el pago de su crédito</w:t>
      </w:r>
      <w:r w:rsidR="009F43C9" w:rsidRPr="00BD4569">
        <w:rPr>
          <w:bCs/>
          <w:sz w:val="22"/>
          <w:szCs w:val="22"/>
        </w:rPr>
        <w:t>, lo que pudiera contradecir las Disposiciones de Cláusulas Abusivas</w:t>
      </w:r>
      <w:r w:rsidR="00FA080C" w:rsidRPr="00BD4569">
        <w:rPr>
          <w:bCs/>
          <w:sz w:val="22"/>
          <w:szCs w:val="22"/>
        </w:rPr>
        <w:t>.</w:t>
      </w:r>
      <w:r w:rsidR="00173392">
        <w:rPr>
          <w:bCs/>
          <w:sz w:val="22"/>
          <w:szCs w:val="22"/>
        </w:rPr>
        <w:t xml:space="preserve"> P</w:t>
      </w:r>
      <w:r w:rsidR="00173392" w:rsidRPr="00CD4124">
        <w:rPr>
          <w:sz w:val="22"/>
          <w:szCs w:val="22"/>
        </w:rPr>
        <w:t xml:space="preserve">or ejemplo, un cliente que reciba su depósito de nómina el 15 de cada mes y el pago del crédito sea el 25, </w:t>
      </w:r>
      <w:r w:rsidR="00EC70BE">
        <w:rPr>
          <w:sz w:val="22"/>
          <w:szCs w:val="22"/>
        </w:rPr>
        <w:t xml:space="preserve">bloquearía </w:t>
      </w:r>
      <w:r w:rsidR="00173392" w:rsidRPr="00CD4124">
        <w:rPr>
          <w:sz w:val="22"/>
          <w:szCs w:val="22"/>
        </w:rPr>
        <w:t xml:space="preserve">el </w:t>
      </w:r>
      <w:r w:rsidR="00B03313">
        <w:rPr>
          <w:sz w:val="22"/>
          <w:szCs w:val="22"/>
        </w:rPr>
        <w:t xml:space="preserve">recurso disponible </w:t>
      </w:r>
      <w:r w:rsidR="00173392" w:rsidRPr="00CD4124">
        <w:rPr>
          <w:sz w:val="22"/>
          <w:szCs w:val="22"/>
        </w:rPr>
        <w:t>por 10 días.</w:t>
      </w:r>
    </w:p>
    <w:p w:rsidR="00F22CD5" w:rsidRDefault="007C0C0F" w:rsidP="00F46AF5">
      <w:pPr>
        <w:spacing w:after="80"/>
        <w:ind w:left="567" w:firstLine="141"/>
        <w:rPr>
          <w:i/>
          <w:color w:val="2F2F2F"/>
          <w:sz w:val="22"/>
          <w:szCs w:val="22"/>
          <w:shd w:val="clear" w:color="auto" w:fill="FFFFFF"/>
        </w:rPr>
      </w:pPr>
      <w:r>
        <w:rPr>
          <w:b/>
          <w:color w:val="00B050"/>
          <w:sz w:val="22"/>
        </w:rPr>
        <w:t>Opinión</w:t>
      </w:r>
      <w:r w:rsidR="00F22CD5" w:rsidRPr="005E63C2">
        <w:rPr>
          <w:b/>
          <w:color w:val="00B050"/>
          <w:sz w:val="22"/>
        </w:rPr>
        <w:t xml:space="preserve"> del Banco de México</w:t>
      </w:r>
      <w:r w:rsidR="00F22CD5">
        <w:rPr>
          <w:i/>
          <w:color w:val="2F2F2F"/>
          <w:sz w:val="22"/>
          <w:szCs w:val="22"/>
          <w:shd w:val="clear" w:color="auto" w:fill="FFFFFF"/>
        </w:rPr>
        <w:t xml:space="preserve"> </w:t>
      </w:r>
    </w:p>
    <w:p w:rsidR="003357B8" w:rsidRDefault="00A038C6" w:rsidP="00F46AF5">
      <w:pPr>
        <w:spacing w:after="80"/>
        <w:ind w:left="708" w:firstLine="0"/>
        <w:rPr>
          <w:i/>
          <w:sz w:val="22"/>
          <w:szCs w:val="22"/>
        </w:rPr>
      </w:pPr>
      <w:r>
        <w:rPr>
          <w:i/>
          <w:color w:val="2F2F2F"/>
          <w:sz w:val="22"/>
          <w:szCs w:val="22"/>
          <w:shd w:val="clear" w:color="auto" w:fill="FFFFFF"/>
        </w:rPr>
        <w:t>Sobre el particular, s</w:t>
      </w:r>
      <w:r w:rsidR="009F43C9" w:rsidRPr="009F43C9">
        <w:rPr>
          <w:i/>
          <w:color w:val="2F2F2F"/>
          <w:sz w:val="22"/>
          <w:szCs w:val="22"/>
          <w:shd w:val="clear" w:color="auto" w:fill="FFFFFF"/>
        </w:rPr>
        <w:t xml:space="preserve">e estima que </w:t>
      </w:r>
      <w:r w:rsidR="002034B8">
        <w:rPr>
          <w:i/>
          <w:color w:val="2F2F2F"/>
          <w:sz w:val="22"/>
          <w:szCs w:val="22"/>
          <w:shd w:val="clear" w:color="auto" w:fill="FFFFFF"/>
        </w:rPr>
        <w:t xml:space="preserve">la inmovilización </w:t>
      </w:r>
      <w:r w:rsidR="009F43C9" w:rsidRPr="009F43C9">
        <w:rPr>
          <w:i/>
          <w:sz w:val="22"/>
          <w:szCs w:val="22"/>
        </w:rPr>
        <w:t xml:space="preserve">es una forma de disposición </w:t>
      </w:r>
      <w:r w:rsidR="0081303C">
        <w:rPr>
          <w:i/>
          <w:sz w:val="22"/>
          <w:szCs w:val="22"/>
        </w:rPr>
        <w:t xml:space="preserve">toda vez </w:t>
      </w:r>
      <w:r w:rsidR="009F43C9" w:rsidRPr="009F43C9">
        <w:rPr>
          <w:i/>
          <w:sz w:val="22"/>
          <w:szCs w:val="22"/>
        </w:rPr>
        <w:t xml:space="preserve">que el </w:t>
      </w:r>
      <w:r w:rsidR="0081303C">
        <w:rPr>
          <w:i/>
          <w:sz w:val="22"/>
          <w:szCs w:val="22"/>
        </w:rPr>
        <w:t>cliente lo está instruyendo como mecanismo de</w:t>
      </w:r>
      <w:r w:rsidR="009F43C9" w:rsidRPr="009F43C9">
        <w:rPr>
          <w:i/>
          <w:sz w:val="22"/>
          <w:szCs w:val="22"/>
        </w:rPr>
        <w:t xml:space="preserve"> pago</w:t>
      </w:r>
      <w:r w:rsidR="0081303C">
        <w:rPr>
          <w:i/>
          <w:sz w:val="22"/>
          <w:szCs w:val="22"/>
        </w:rPr>
        <w:t xml:space="preserve"> oportuno</w:t>
      </w:r>
      <w:r w:rsidR="003357B8">
        <w:rPr>
          <w:i/>
          <w:sz w:val="22"/>
          <w:szCs w:val="22"/>
        </w:rPr>
        <w:t xml:space="preserve">, y deberá ser claro y transparente para el cliente que los </w:t>
      </w:r>
      <w:r w:rsidR="003357B8">
        <w:rPr>
          <w:i/>
          <w:sz w:val="22"/>
          <w:szCs w:val="22"/>
        </w:rPr>
        <w:lastRenderedPageBreak/>
        <w:t xml:space="preserve">recursos quedarán </w:t>
      </w:r>
      <w:r w:rsidR="002034B8">
        <w:rPr>
          <w:i/>
          <w:sz w:val="22"/>
          <w:szCs w:val="22"/>
        </w:rPr>
        <w:t xml:space="preserve">inmovilizados </w:t>
      </w:r>
      <w:r w:rsidR="003357B8">
        <w:rPr>
          <w:i/>
          <w:sz w:val="22"/>
          <w:szCs w:val="22"/>
        </w:rPr>
        <w:t>sin que pued</w:t>
      </w:r>
      <w:r w:rsidR="009A41F4">
        <w:rPr>
          <w:i/>
          <w:sz w:val="22"/>
          <w:szCs w:val="22"/>
        </w:rPr>
        <w:t>a</w:t>
      </w:r>
      <w:r w:rsidR="003357B8">
        <w:rPr>
          <w:i/>
          <w:sz w:val="22"/>
          <w:szCs w:val="22"/>
        </w:rPr>
        <w:t xml:space="preserve"> hacer uso de los mismos para un fin distinto</w:t>
      </w:r>
      <w:r w:rsidR="009F43C9" w:rsidRPr="009F43C9">
        <w:rPr>
          <w:i/>
          <w:sz w:val="22"/>
          <w:szCs w:val="22"/>
        </w:rPr>
        <w:t xml:space="preserve">. Por lo anterior, se cumple </w:t>
      </w:r>
      <w:r w:rsidR="0081303C">
        <w:rPr>
          <w:i/>
          <w:sz w:val="22"/>
          <w:szCs w:val="22"/>
        </w:rPr>
        <w:t xml:space="preserve">con lo dispuesto </w:t>
      </w:r>
      <w:r w:rsidR="0081303C" w:rsidRPr="009F43C9">
        <w:rPr>
          <w:i/>
          <w:color w:val="2F2F2F"/>
          <w:sz w:val="22"/>
          <w:szCs w:val="22"/>
          <w:shd w:val="clear" w:color="auto" w:fill="FFFFFF"/>
        </w:rPr>
        <w:t xml:space="preserve">en el artículo 57 de la </w:t>
      </w:r>
      <w:r w:rsidR="0081303C">
        <w:rPr>
          <w:i/>
          <w:color w:val="2F2F2F"/>
          <w:sz w:val="22"/>
          <w:szCs w:val="22"/>
          <w:shd w:val="clear" w:color="auto" w:fill="FFFFFF"/>
        </w:rPr>
        <w:t xml:space="preserve">Ley de Instituciones de Crédito, así como con </w:t>
      </w:r>
      <w:r w:rsidR="007420AC">
        <w:rPr>
          <w:i/>
          <w:sz w:val="22"/>
          <w:szCs w:val="22"/>
        </w:rPr>
        <w:t>los</w:t>
      </w:r>
      <w:r w:rsidR="0081303C">
        <w:rPr>
          <w:i/>
          <w:sz w:val="22"/>
          <w:szCs w:val="22"/>
        </w:rPr>
        <w:t xml:space="preserve"> artículo</w:t>
      </w:r>
      <w:r w:rsidR="007420AC">
        <w:rPr>
          <w:i/>
          <w:sz w:val="22"/>
          <w:szCs w:val="22"/>
        </w:rPr>
        <w:t>s</w:t>
      </w:r>
      <w:r w:rsidR="0081303C">
        <w:rPr>
          <w:i/>
          <w:sz w:val="22"/>
          <w:szCs w:val="22"/>
        </w:rPr>
        <w:t xml:space="preserve"> </w:t>
      </w:r>
      <w:r w:rsidR="007420AC" w:rsidRPr="00CD4124">
        <w:rPr>
          <w:i/>
          <w:sz w:val="22"/>
          <w:szCs w:val="22"/>
        </w:rPr>
        <w:t>97</w:t>
      </w:r>
      <w:r w:rsidR="007420AC">
        <w:rPr>
          <w:i/>
          <w:sz w:val="22"/>
          <w:szCs w:val="22"/>
        </w:rPr>
        <w:t xml:space="preserve"> y 98 </w:t>
      </w:r>
      <w:r w:rsidR="007420AC" w:rsidRPr="00CD4124">
        <w:rPr>
          <w:i/>
          <w:sz w:val="22"/>
          <w:szCs w:val="22"/>
        </w:rPr>
        <w:t>de la Ley Federal de</w:t>
      </w:r>
      <w:r w:rsidR="007420AC">
        <w:rPr>
          <w:i/>
          <w:sz w:val="22"/>
          <w:szCs w:val="22"/>
        </w:rPr>
        <w:t xml:space="preserve">l Trabajo y </w:t>
      </w:r>
      <w:r w:rsidR="0081303C">
        <w:rPr>
          <w:i/>
          <w:sz w:val="22"/>
          <w:szCs w:val="22"/>
        </w:rPr>
        <w:t xml:space="preserve">23 de la </w:t>
      </w:r>
      <w:r w:rsidR="007420AC">
        <w:rPr>
          <w:i/>
          <w:sz w:val="22"/>
          <w:szCs w:val="22"/>
        </w:rPr>
        <w:t xml:space="preserve">Circular </w:t>
      </w:r>
      <w:r w:rsidR="0081303C">
        <w:rPr>
          <w:i/>
          <w:sz w:val="22"/>
          <w:szCs w:val="22"/>
        </w:rPr>
        <w:t>3/</w:t>
      </w:r>
      <w:r w:rsidR="007420AC">
        <w:rPr>
          <w:i/>
          <w:sz w:val="22"/>
          <w:szCs w:val="22"/>
        </w:rPr>
        <w:t>2012</w:t>
      </w:r>
      <w:r w:rsidR="00C73A56">
        <w:rPr>
          <w:i/>
          <w:sz w:val="22"/>
          <w:szCs w:val="22"/>
        </w:rPr>
        <w:t xml:space="preserve">, toda vez que </w:t>
      </w:r>
      <w:r w:rsidR="00C73A56" w:rsidRPr="00CD4124">
        <w:rPr>
          <w:i/>
          <w:sz w:val="22"/>
          <w:szCs w:val="22"/>
        </w:rPr>
        <w:t>el propio cliente otorgó su consentimiento para dicha separación</w:t>
      </w:r>
      <w:r w:rsidR="008F00FF">
        <w:rPr>
          <w:i/>
          <w:sz w:val="22"/>
          <w:szCs w:val="22"/>
        </w:rPr>
        <w:t>. Asimismo,</w:t>
      </w:r>
      <w:r w:rsidR="009A41F4">
        <w:rPr>
          <w:i/>
          <w:sz w:val="22"/>
          <w:szCs w:val="22"/>
        </w:rPr>
        <w:t xml:space="preserve"> la periodicidad del descuento deberá ser pactado entre las partes no pudiendo ser esta mayor a un mes calendario.</w:t>
      </w:r>
    </w:p>
    <w:p w:rsidR="00420114" w:rsidRPr="009F43C9" w:rsidRDefault="00420114" w:rsidP="00F46AF5">
      <w:pPr>
        <w:spacing w:after="80"/>
        <w:ind w:left="708" w:firstLine="0"/>
        <w:rPr>
          <w:i/>
          <w:color w:val="2F2F2F"/>
          <w:sz w:val="22"/>
          <w:szCs w:val="22"/>
          <w:shd w:val="clear" w:color="auto" w:fill="FFFFFF"/>
        </w:rPr>
      </w:pPr>
      <w:r>
        <w:rPr>
          <w:i/>
          <w:sz w:val="22"/>
          <w:szCs w:val="22"/>
        </w:rPr>
        <w:t xml:space="preserve">Tampoco se considera que </w:t>
      </w:r>
      <w:r w:rsidRPr="009F43C9">
        <w:rPr>
          <w:i/>
          <w:color w:val="2F2F2F"/>
          <w:sz w:val="22"/>
          <w:szCs w:val="22"/>
          <w:shd w:val="clear" w:color="auto" w:fill="FFFFFF"/>
        </w:rPr>
        <w:t>la propuesta</w:t>
      </w:r>
      <w:r>
        <w:rPr>
          <w:i/>
          <w:color w:val="2F2F2F"/>
          <w:sz w:val="22"/>
          <w:szCs w:val="22"/>
          <w:shd w:val="clear" w:color="auto" w:fill="FFFFFF"/>
        </w:rPr>
        <w:t xml:space="preserve"> entr</w:t>
      </w:r>
      <w:r w:rsidR="007420AC">
        <w:rPr>
          <w:i/>
          <w:color w:val="2F2F2F"/>
          <w:sz w:val="22"/>
          <w:szCs w:val="22"/>
          <w:shd w:val="clear" w:color="auto" w:fill="FFFFFF"/>
        </w:rPr>
        <w:t>e</w:t>
      </w:r>
      <w:r w:rsidRPr="009F43C9">
        <w:rPr>
          <w:i/>
          <w:color w:val="2F2F2F"/>
          <w:sz w:val="22"/>
          <w:szCs w:val="22"/>
          <w:shd w:val="clear" w:color="auto" w:fill="FFFFFF"/>
        </w:rPr>
        <w:t xml:space="preserve"> en contradicción con las Disposiciones de carácter general en materia de cláusulas abusivas emitidas por la CONDUSEF</w:t>
      </w:r>
      <w:r w:rsidR="00EC70BE">
        <w:rPr>
          <w:i/>
          <w:color w:val="2F2F2F"/>
          <w:sz w:val="22"/>
          <w:szCs w:val="22"/>
          <w:shd w:val="clear" w:color="auto" w:fill="FFFFFF"/>
        </w:rPr>
        <w:t>,</w:t>
      </w:r>
      <w:r w:rsidRPr="009F43C9">
        <w:rPr>
          <w:i/>
          <w:color w:val="2F2F2F"/>
          <w:sz w:val="22"/>
          <w:szCs w:val="22"/>
          <w:shd w:val="clear" w:color="auto" w:fill="FFFFFF"/>
        </w:rPr>
        <w:t xml:space="preserve"> toda vez que la misma se refiere al establecimiento de una </w:t>
      </w:r>
      <w:r w:rsidRPr="00101440">
        <w:rPr>
          <w:b/>
          <w:i/>
          <w:color w:val="2F2F2F"/>
          <w:sz w:val="22"/>
          <w:szCs w:val="22"/>
          <w:shd w:val="clear" w:color="auto" w:fill="FFFFFF"/>
        </w:rPr>
        <w:t>cláusula general</w:t>
      </w:r>
      <w:r w:rsidRPr="009F43C9">
        <w:rPr>
          <w:i/>
          <w:color w:val="2F2F2F"/>
          <w:sz w:val="22"/>
          <w:szCs w:val="22"/>
          <w:shd w:val="clear" w:color="auto" w:fill="FFFFFF"/>
        </w:rPr>
        <w:t xml:space="preserve"> que permita a las instituciones de crédito </w:t>
      </w:r>
      <w:r w:rsidRPr="0081303C">
        <w:rPr>
          <w:b/>
          <w:i/>
          <w:color w:val="2F2F2F"/>
          <w:sz w:val="22"/>
          <w:szCs w:val="22"/>
          <w:shd w:val="clear" w:color="auto" w:fill="FFFFFF"/>
        </w:rPr>
        <w:t xml:space="preserve">cobrar </w:t>
      </w:r>
      <w:r w:rsidRPr="009F43C9">
        <w:rPr>
          <w:i/>
          <w:color w:val="2F2F2F"/>
          <w:sz w:val="22"/>
          <w:szCs w:val="22"/>
          <w:shd w:val="clear" w:color="auto" w:fill="FFFFFF"/>
        </w:rPr>
        <w:t xml:space="preserve">las </w:t>
      </w:r>
      <w:r w:rsidRPr="0081303C">
        <w:rPr>
          <w:b/>
          <w:i/>
          <w:color w:val="2F2F2F"/>
          <w:sz w:val="22"/>
          <w:szCs w:val="22"/>
          <w:shd w:val="clear" w:color="auto" w:fill="FFFFFF"/>
        </w:rPr>
        <w:t>cantidades vencidas y no pagadas</w:t>
      </w:r>
      <w:r w:rsidRPr="009F43C9">
        <w:rPr>
          <w:i/>
          <w:color w:val="2F2F2F"/>
          <w:sz w:val="22"/>
          <w:szCs w:val="22"/>
          <w:shd w:val="clear" w:color="auto" w:fill="FFFFFF"/>
        </w:rPr>
        <w:t xml:space="preserve"> de un crédito en cualquier cuenta de depósito del acreditado. </w:t>
      </w:r>
    </w:p>
    <w:p w:rsidR="00FA080C" w:rsidRPr="00BD4569" w:rsidRDefault="00FA080C" w:rsidP="00F46AF5">
      <w:pPr>
        <w:pStyle w:val="Default"/>
        <w:numPr>
          <w:ilvl w:val="1"/>
          <w:numId w:val="1"/>
        </w:numPr>
        <w:spacing w:before="240" w:after="80"/>
        <w:ind w:left="714" w:hanging="434"/>
        <w:jc w:val="both"/>
        <w:rPr>
          <w:bCs/>
          <w:sz w:val="22"/>
          <w:szCs w:val="22"/>
        </w:rPr>
      </w:pPr>
      <w:r w:rsidRPr="00BD4569">
        <w:rPr>
          <w:bCs/>
          <w:sz w:val="22"/>
          <w:szCs w:val="22"/>
        </w:rPr>
        <w:t xml:space="preserve">Algunos de los comentarios proponen un </w:t>
      </w:r>
      <w:r w:rsidR="007420AC">
        <w:rPr>
          <w:bCs/>
          <w:sz w:val="22"/>
          <w:szCs w:val="22"/>
        </w:rPr>
        <w:t>“</w:t>
      </w:r>
      <w:r w:rsidRPr="00BD4569">
        <w:rPr>
          <w:bCs/>
          <w:sz w:val="22"/>
          <w:szCs w:val="22"/>
        </w:rPr>
        <w:t>sistema de pago centralizado</w:t>
      </w:r>
      <w:r w:rsidR="007420AC">
        <w:rPr>
          <w:bCs/>
          <w:sz w:val="22"/>
          <w:szCs w:val="22"/>
        </w:rPr>
        <w:t>”</w:t>
      </w:r>
      <w:r w:rsidRPr="00BD4569">
        <w:rPr>
          <w:bCs/>
          <w:sz w:val="22"/>
          <w:szCs w:val="22"/>
        </w:rPr>
        <w:t xml:space="preserve"> donde se asegure que en caso de cambios de banco dispersor, se mantenga el cobro garantizado de los créditos, al que puedan acceder los bancos previa autorización del cliente. Agregan que lo que realmente se necesita es un registro electrónico de créditos de nómina (parecido al registro de garantías mobiliarias) administrado por Banco de México.</w:t>
      </w:r>
    </w:p>
    <w:p w:rsidR="00F22CD5" w:rsidRDefault="007C0C0F" w:rsidP="00F46AF5">
      <w:pPr>
        <w:spacing w:after="80"/>
        <w:ind w:left="567" w:firstLine="141"/>
        <w:rPr>
          <w:rFonts w:cs="Calibri"/>
          <w:i/>
          <w:sz w:val="22"/>
          <w:szCs w:val="22"/>
        </w:rPr>
      </w:pPr>
      <w:r>
        <w:rPr>
          <w:b/>
          <w:color w:val="00B050"/>
          <w:sz w:val="22"/>
        </w:rPr>
        <w:t>Opinión</w:t>
      </w:r>
      <w:r w:rsidR="00F22CD5" w:rsidRPr="005E63C2">
        <w:rPr>
          <w:b/>
          <w:color w:val="00B050"/>
          <w:sz w:val="22"/>
        </w:rPr>
        <w:t xml:space="preserve"> del Banco de México</w:t>
      </w:r>
      <w:r w:rsidR="00F22CD5" w:rsidRPr="00A506B3">
        <w:rPr>
          <w:rFonts w:cs="Calibri"/>
          <w:i/>
          <w:sz w:val="22"/>
          <w:szCs w:val="22"/>
        </w:rPr>
        <w:t xml:space="preserve"> </w:t>
      </w:r>
    </w:p>
    <w:p w:rsidR="00437373" w:rsidRDefault="00A506B3" w:rsidP="00F46AF5">
      <w:pPr>
        <w:spacing w:after="80"/>
        <w:ind w:left="708" w:firstLine="0"/>
        <w:rPr>
          <w:rFonts w:cs="Calibri"/>
          <w:i/>
          <w:sz w:val="22"/>
          <w:szCs w:val="22"/>
        </w:rPr>
      </w:pPr>
      <w:r w:rsidRPr="00A506B3">
        <w:rPr>
          <w:rFonts w:cs="Calibri"/>
          <w:i/>
          <w:sz w:val="22"/>
          <w:szCs w:val="22"/>
        </w:rPr>
        <w:t xml:space="preserve">Al respecto, </w:t>
      </w:r>
      <w:r>
        <w:rPr>
          <w:rFonts w:cs="Calibri"/>
          <w:i/>
          <w:sz w:val="22"/>
          <w:szCs w:val="22"/>
        </w:rPr>
        <w:t>s</w:t>
      </w:r>
      <w:r w:rsidRPr="00A506B3">
        <w:rPr>
          <w:rFonts w:cs="Calibri"/>
          <w:i/>
          <w:sz w:val="22"/>
          <w:szCs w:val="22"/>
        </w:rPr>
        <w:t>e reconoce que existen diversos mecanismos a través de los cuales podría lograrse el objetivo buscado con la disposición propuesta. No obstante lo anterior</w:t>
      </w:r>
      <w:r>
        <w:rPr>
          <w:rFonts w:cs="Calibri"/>
          <w:i/>
          <w:sz w:val="22"/>
          <w:szCs w:val="22"/>
        </w:rPr>
        <w:t xml:space="preserve">, </w:t>
      </w:r>
      <w:r w:rsidR="00A038C6">
        <w:rPr>
          <w:rFonts w:cs="Calibri"/>
          <w:i/>
          <w:sz w:val="22"/>
          <w:szCs w:val="22"/>
        </w:rPr>
        <w:t>s</w:t>
      </w:r>
      <w:r w:rsidR="00FA080C" w:rsidRPr="00FA080C">
        <w:rPr>
          <w:rFonts w:cs="Calibri"/>
          <w:i/>
          <w:sz w:val="22"/>
          <w:szCs w:val="22"/>
        </w:rPr>
        <w:t xml:space="preserve">e estima que el mecanismo </w:t>
      </w:r>
      <w:r w:rsidR="00B03313">
        <w:rPr>
          <w:rFonts w:cs="Calibri"/>
          <w:i/>
          <w:sz w:val="22"/>
          <w:szCs w:val="22"/>
        </w:rPr>
        <w:t xml:space="preserve">de operación de domiciliación hoy vigente </w:t>
      </w:r>
      <w:r w:rsidR="00FA080C" w:rsidRPr="00FA080C">
        <w:rPr>
          <w:rFonts w:cs="Calibri"/>
          <w:i/>
          <w:sz w:val="22"/>
          <w:szCs w:val="22"/>
        </w:rPr>
        <w:t>e</w:t>
      </w:r>
      <w:r w:rsidR="00FA080C">
        <w:rPr>
          <w:rFonts w:cs="Calibri"/>
          <w:i/>
          <w:sz w:val="22"/>
          <w:szCs w:val="22"/>
        </w:rPr>
        <w:t xml:space="preserve">s el </w:t>
      </w:r>
      <w:r w:rsidR="00B03313">
        <w:rPr>
          <w:rFonts w:cs="Calibri"/>
          <w:i/>
          <w:sz w:val="22"/>
          <w:szCs w:val="22"/>
        </w:rPr>
        <w:t>de más fácil aplicación</w:t>
      </w:r>
      <w:r w:rsidR="00FA080C" w:rsidRPr="00FA080C">
        <w:rPr>
          <w:rFonts w:cs="Calibri"/>
          <w:i/>
          <w:sz w:val="22"/>
          <w:szCs w:val="22"/>
        </w:rPr>
        <w:t>.</w:t>
      </w:r>
      <w:r w:rsidR="00FA080C">
        <w:rPr>
          <w:rFonts w:cs="Calibri"/>
          <w:i/>
          <w:sz w:val="22"/>
          <w:szCs w:val="22"/>
        </w:rPr>
        <w:t xml:space="preserve"> </w:t>
      </w:r>
      <w:r w:rsidR="00FA080C" w:rsidRPr="00FA080C">
        <w:rPr>
          <w:rFonts w:cs="Calibri"/>
          <w:i/>
          <w:sz w:val="22"/>
          <w:szCs w:val="22"/>
        </w:rPr>
        <w:t xml:space="preserve">Sin perjuicio de lo anterior, se reconoce que </w:t>
      </w:r>
      <w:r w:rsidR="00B03313">
        <w:rPr>
          <w:rFonts w:cs="Calibri"/>
          <w:i/>
          <w:sz w:val="22"/>
          <w:szCs w:val="22"/>
        </w:rPr>
        <w:t xml:space="preserve">las </w:t>
      </w:r>
      <w:r w:rsidR="00FA080C" w:rsidRPr="00FA080C">
        <w:rPr>
          <w:rFonts w:cs="Calibri"/>
          <w:i/>
          <w:sz w:val="22"/>
          <w:szCs w:val="22"/>
        </w:rPr>
        <w:t xml:space="preserve">instituciones de crédito </w:t>
      </w:r>
      <w:r w:rsidR="00B03313">
        <w:rPr>
          <w:rFonts w:cs="Calibri"/>
          <w:i/>
          <w:sz w:val="22"/>
          <w:szCs w:val="22"/>
        </w:rPr>
        <w:t xml:space="preserve">podrán </w:t>
      </w:r>
      <w:r w:rsidR="00437373">
        <w:rPr>
          <w:rFonts w:cs="Calibri"/>
          <w:i/>
          <w:sz w:val="22"/>
          <w:szCs w:val="22"/>
        </w:rPr>
        <w:t>estable</w:t>
      </w:r>
      <w:r w:rsidR="00EC70BE">
        <w:rPr>
          <w:rFonts w:cs="Calibri"/>
          <w:i/>
          <w:sz w:val="22"/>
          <w:szCs w:val="22"/>
        </w:rPr>
        <w:t>c</w:t>
      </w:r>
      <w:r w:rsidR="00B03313">
        <w:rPr>
          <w:rFonts w:cs="Calibri"/>
          <w:i/>
          <w:sz w:val="22"/>
          <w:szCs w:val="22"/>
        </w:rPr>
        <w:t>er</w:t>
      </w:r>
      <w:r w:rsidR="00FA080C" w:rsidRPr="00FA080C">
        <w:rPr>
          <w:rFonts w:cs="Calibri"/>
          <w:i/>
          <w:sz w:val="22"/>
          <w:szCs w:val="22"/>
        </w:rPr>
        <w:t xml:space="preserve"> proc</w:t>
      </w:r>
      <w:r w:rsidR="00437373">
        <w:rPr>
          <w:rFonts w:cs="Calibri"/>
          <w:i/>
          <w:sz w:val="22"/>
          <w:szCs w:val="22"/>
        </w:rPr>
        <w:t>esos operativos para su adecuada</w:t>
      </w:r>
      <w:r w:rsidR="00FA080C" w:rsidRPr="00FA080C">
        <w:rPr>
          <w:rFonts w:cs="Calibri"/>
          <w:i/>
          <w:sz w:val="22"/>
          <w:szCs w:val="22"/>
        </w:rPr>
        <w:t xml:space="preserve"> </w:t>
      </w:r>
      <w:r w:rsidR="00437373">
        <w:rPr>
          <w:rFonts w:cs="Calibri"/>
          <w:i/>
          <w:sz w:val="22"/>
          <w:szCs w:val="22"/>
        </w:rPr>
        <w:t>implementación</w:t>
      </w:r>
      <w:r w:rsidR="002034B8">
        <w:rPr>
          <w:rFonts w:cs="Calibri"/>
          <w:i/>
          <w:sz w:val="22"/>
          <w:szCs w:val="22"/>
        </w:rPr>
        <w:t xml:space="preserve"> (artículo 63 Bis</w:t>
      </w:r>
      <w:r w:rsidR="00F52835">
        <w:rPr>
          <w:rFonts w:cs="Calibri"/>
          <w:i/>
          <w:sz w:val="22"/>
          <w:szCs w:val="22"/>
        </w:rPr>
        <w:t xml:space="preserve"> </w:t>
      </w:r>
      <w:r w:rsidR="002034B8">
        <w:rPr>
          <w:rFonts w:cs="Calibri"/>
          <w:i/>
          <w:sz w:val="22"/>
          <w:szCs w:val="22"/>
        </w:rPr>
        <w:t>3)</w:t>
      </w:r>
      <w:r>
        <w:rPr>
          <w:rFonts w:cs="Calibri"/>
          <w:i/>
          <w:sz w:val="22"/>
          <w:szCs w:val="22"/>
        </w:rPr>
        <w:t>.</w:t>
      </w:r>
    </w:p>
    <w:p w:rsidR="00577900"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w:t>
      </w:r>
      <w:r w:rsidR="00577900" w:rsidRPr="007408D8">
        <w:rPr>
          <w:rFonts w:ascii="Cambria" w:eastAsiaTheme="majorEastAsia" w:hAnsi="Cambria" w:cstheme="majorBidi"/>
          <w:bCs w:val="0"/>
          <w:color w:val="365F91"/>
          <w:kern w:val="0"/>
          <w:sz w:val="26"/>
          <w:szCs w:val="26"/>
          <w:lang w:eastAsia="en-US"/>
        </w:rPr>
        <w:t xml:space="preserve"> relacionados con ajustes a tasas de interés </w:t>
      </w:r>
      <w:r w:rsidR="008F00FF" w:rsidRPr="007408D8">
        <w:rPr>
          <w:rFonts w:ascii="Cambria" w:eastAsiaTheme="majorEastAsia" w:hAnsi="Cambria" w:cstheme="majorBidi"/>
          <w:bCs w:val="0"/>
          <w:color w:val="365F91"/>
          <w:kern w:val="0"/>
          <w:sz w:val="26"/>
          <w:szCs w:val="26"/>
          <w:lang w:eastAsia="en-US"/>
        </w:rPr>
        <w:t xml:space="preserve">en caso de cancelación </w:t>
      </w:r>
      <w:r w:rsidR="006B491D" w:rsidRPr="007408D8">
        <w:rPr>
          <w:rFonts w:ascii="Cambria" w:eastAsiaTheme="majorEastAsia" w:hAnsi="Cambria" w:cstheme="majorBidi"/>
          <w:bCs w:val="0"/>
          <w:color w:val="365F91"/>
          <w:kern w:val="0"/>
          <w:sz w:val="26"/>
          <w:szCs w:val="26"/>
          <w:lang w:eastAsia="en-US"/>
        </w:rPr>
        <w:t xml:space="preserve">del mandato para la domiciliación del pago </w:t>
      </w:r>
      <w:r w:rsidR="00577900" w:rsidRPr="007408D8">
        <w:rPr>
          <w:rFonts w:ascii="Cambria" w:eastAsiaTheme="majorEastAsia" w:hAnsi="Cambria" w:cstheme="majorBidi"/>
          <w:bCs w:val="0"/>
          <w:color w:val="365F91"/>
          <w:kern w:val="0"/>
          <w:sz w:val="26"/>
          <w:szCs w:val="26"/>
          <w:lang w:eastAsia="en-US"/>
        </w:rPr>
        <w:t xml:space="preserve">y </w:t>
      </w:r>
      <w:r w:rsidR="008F00FF" w:rsidRPr="007408D8">
        <w:rPr>
          <w:rFonts w:ascii="Cambria" w:eastAsiaTheme="majorEastAsia" w:hAnsi="Cambria" w:cstheme="majorBidi"/>
          <w:bCs w:val="0"/>
          <w:color w:val="365F91"/>
          <w:kern w:val="0"/>
          <w:sz w:val="26"/>
          <w:szCs w:val="26"/>
          <w:lang w:eastAsia="en-US"/>
        </w:rPr>
        <w:t>la recisión del contrato.</w:t>
      </w:r>
      <w:r w:rsidR="00577900" w:rsidRPr="007408D8">
        <w:rPr>
          <w:rFonts w:ascii="Cambria" w:eastAsiaTheme="majorEastAsia" w:hAnsi="Cambria" w:cstheme="majorBidi"/>
          <w:bCs w:val="0"/>
          <w:color w:val="365F91"/>
          <w:kern w:val="0"/>
          <w:sz w:val="26"/>
          <w:szCs w:val="26"/>
          <w:lang w:eastAsia="en-US"/>
        </w:rPr>
        <w:t xml:space="preserve"> </w:t>
      </w:r>
    </w:p>
    <w:p w:rsidR="00A507E1" w:rsidRPr="00BD4569" w:rsidRDefault="00A507E1" w:rsidP="00F46AF5">
      <w:pPr>
        <w:pStyle w:val="Default"/>
        <w:numPr>
          <w:ilvl w:val="1"/>
          <w:numId w:val="1"/>
        </w:numPr>
        <w:spacing w:before="240" w:after="80"/>
        <w:ind w:left="700" w:hanging="420"/>
        <w:jc w:val="both"/>
        <w:rPr>
          <w:bCs/>
          <w:sz w:val="22"/>
          <w:szCs w:val="22"/>
        </w:rPr>
      </w:pPr>
      <w:r w:rsidRPr="00BD4569">
        <w:rPr>
          <w:bCs/>
          <w:sz w:val="22"/>
          <w:szCs w:val="22"/>
        </w:rPr>
        <w:t>En relación a la modificación de la tasa de interés que se permite en caso de que el cliente cancele el mandato de la domiciliación del pago del CAN, algunos de los comentarios recibidos han expresado preocupación sobre una posible contraposición con respecto a la limitante que establece la regulación actual en materia de tasas de interés así como a las disposiciones de carácter general en materia de cláusulas abusivas contenidas en los contratos de adhesión emitida por CONDUSEF.</w:t>
      </w:r>
    </w:p>
    <w:p w:rsidR="00F22CD5" w:rsidRDefault="007C0C0F" w:rsidP="00F46AF5">
      <w:pPr>
        <w:spacing w:after="80"/>
        <w:ind w:left="567" w:firstLine="133"/>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sidRPr="00A507E1">
        <w:rPr>
          <w:rFonts w:eastAsiaTheme="majorEastAsia"/>
          <w:i/>
          <w:sz w:val="22"/>
          <w:szCs w:val="22"/>
          <w:lang w:eastAsia="en-US"/>
        </w:rPr>
        <w:t xml:space="preserve"> </w:t>
      </w:r>
    </w:p>
    <w:p w:rsidR="00A507E1" w:rsidRPr="00A507E1" w:rsidRDefault="00A507E1" w:rsidP="00F46AF5">
      <w:pPr>
        <w:spacing w:after="80"/>
        <w:ind w:left="700" w:firstLine="0"/>
        <w:rPr>
          <w:rFonts w:eastAsiaTheme="majorEastAsia"/>
          <w:i/>
          <w:sz w:val="22"/>
          <w:szCs w:val="22"/>
          <w:lang w:eastAsia="en-US"/>
        </w:rPr>
      </w:pPr>
      <w:r w:rsidRPr="00A507E1">
        <w:rPr>
          <w:rFonts w:eastAsiaTheme="majorEastAsia"/>
          <w:i/>
          <w:sz w:val="22"/>
          <w:szCs w:val="22"/>
          <w:lang w:eastAsia="en-US"/>
        </w:rPr>
        <w:t xml:space="preserve">Para dar mayor transparencia y certeza al proceso de modificación de tasa </w:t>
      </w:r>
      <w:r w:rsidR="006B491D">
        <w:rPr>
          <w:rFonts w:eastAsiaTheme="majorEastAsia"/>
          <w:i/>
          <w:sz w:val="22"/>
          <w:szCs w:val="22"/>
          <w:lang w:eastAsia="en-US"/>
        </w:rPr>
        <w:t xml:space="preserve">de interés </w:t>
      </w:r>
      <w:r w:rsidRPr="00A507E1">
        <w:rPr>
          <w:rFonts w:eastAsiaTheme="majorEastAsia"/>
          <w:i/>
          <w:sz w:val="22"/>
          <w:szCs w:val="22"/>
          <w:lang w:eastAsia="en-US"/>
        </w:rPr>
        <w:t>en caso de cancelación</w:t>
      </w:r>
      <w:r w:rsidR="006B491D">
        <w:rPr>
          <w:rFonts w:eastAsiaTheme="majorEastAsia"/>
          <w:i/>
          <w:sz w:val="22"/>
          <w:szCs w:val="22"/>
          <w:lang w:eastAsia="en-US"/>
        </w:rPr>
        <w:t xml:space="preserve"> del mandato relativo a</w:t>
      </w:r>
      <w:r w:rsidRPr="00A507E1">
        <w:rPr>
          <w:rFonts w:eastAsiaTheme="majorEastAsia"/>
          <w:i/>
          <w:sz w:val="22"/>
          <w:szCs w:val="22"/>
          <w:lang w:eastAsia="en-US"/>
        </w:rPr>
        <w:t xml:space="preserve"> la domiciliación</w:t>
      </w:r>
      <w:r w:rsidR="006B491D">
        <w:rPr>
          <w:rStyle w:val="Refdenotaalpie"/>
          <w:rFonts w:eastAsiaTheme="majorEastAsia"/>
          <w:i/>
          <w:sz w:val="22"/>
          <w:szCs w:val="22"/>
          <w:lang w:eastAsia="en-US"/>
        </w:rPr>
        <w:footnoteReference w:id="3"/>
      </w:r>
      <w:r w:rsidRPr="00A507E1">
        <w:rPr>
          <w:rFonts w:eastAsiaTheme="majorEastAsia"/>
          <w:i/>
          <w:sz w:val="22"/>
          <w:szCs w:val="22"/>
          <w:lang w:eastAsia="en-US"/>
        </w:rPr>
        <w:t>, así como promover que existan una relación directa entre la tasa</w:t>
      </w:r>
      <w:r w:rsidR="006B491D">
        <w:rPr>
          <w:rFonts w:eastAsiaTheme="majorEastAsia"/>
          <w:i/>
          <w:sz w:val="22"/>
          <w:szCs w:val="22"/>
          <w:lang w:eastAsia="en-US"/>
        </w:rPr>
        <w:t xml:space="preserve"> de interés </w:t>
      </w:r>
      <w:r w:rsidRPr="00A507E1">
        <w:rPr>
          <w:rFonts w:eastAsiaTheme="majorEastAsia"/>
          <w:i/>
          <w:sz w:val="22"/>
          <w:szCs w:val="22"/>
          <w:lang w:eastAsia="en-US"/>
        </w:rPr>
        <w:t xml:space="preserve">y el riesgo que implica el cobro de un CAN respecto de </w:t>
      </w:r>
      <w:r w:rsidRPr="00A507E1">
        <w:rPr>
          <w:rFonts w:eastAsiaTheme="majorEastAsia"/>
          <w:i/>
          <w:sz w:val="22"/>
          <w:szCs w:val="22"/>
          <w:lang w:eastAsia="en-US"/>
        </w:rPr>
        <w:lastRenderedPageBreak/>
        <w:t>un crédito no asociado</w:t>
      </w:r>
      <w:r w:rsidR="006B491D">
        <w:rPr>
          <w:rFonts w:eastAsiaTheme="majorEastAsia"/>
          <w:i/>
          <w:sz w:val="22"/>
          <w:szCs w:val="22"/>
          <w:lang w:eastAsia="en-US"/>
        </w:rPr>
        <w:t xml:space="preserve"> a la nómina</w:t>
      </w:r>
      <w:r w:rsidRPr="00A507E1">
        <w:rPr>
          <w:rFonts w:eastAsiaTheme="majorEastAsia"/>
          <w:i/>
          <w:sz w:val="22"/>
          <w:szCs w:val="22"/>
          <w:lang w:eastAsia="en-US"/>
        </w:rPr>
        <w:t>, se propone</w:t>
      </w:r>
      <w:r w:rsidR="006B491D">
        <w:rPr>
          <w:rFonts w:eastAsiaTheme="majorEastAsia"/>
          <w:i/>
          <w:sz w:val="22"/>
          <w:szCs w:val="22"/>
          <w:lang w:eastAsia="en-US"/>
        </w:rPr>
        <w:t>:</w:t>
      </w:r>
      <w:r w:rsidRPr="00A507E1">
        <w:rPr>
          <w:rFonts w:eastAsiaTheme="majorEastAsia"/>
          <w:i/>
          <w:sz w:val="22"/>
          <w:szCs w:val="22"/>
          <w:lang w:eastAsia="en-US"/>
        </w:rPr>
        <w:t xml:space="preserve"> i) modificar el proyecto</w:t>
      </w:r>
      <w:r w:rsidR="006B491D">
        <w:rPr>
          <w:rFonts w:eastAsiaTheme="majorEastAsia"/>
          <w:i/>
          <w:sz w:val="22"/>
          <w:szCs w:val="22"/>
          <w:lang w:eastAsia="en-US"/>
        </w:rPr>
        <w:t xml:space="preserve"> de regulación</w:t>
      </w:r>
      <w:r w:rsidRPr="00A507E1">
        <w:rPr>
          <w:rFonts w:eastAsiaTheme="majorEastAsia"/>
          <w:i/>
          <w:sz w:val="22"/>
          <w:szCs w:val="22"/>
          <w:lang w:eastAsia="en-US"/>
        </w:rPr>
        <w:t xml:space="preserve"> para </w:t>
      </w:r>
      <w:r w:rsidR="006B491D">
        <w:rPr>
          <w:rFonts w:eastAsiaTheme="majorEastAsia"/>
          <w:i/>
          <w:sz w:val="22"/>
          <w:szCs w:val="22"/>
          <w:lang w:eastAsia="en-US"/>
        </w:rPr>
        <w:t>aclarar que</w:t>
      </w:r>
      <w:r w:rsidRPr="00A507E1">
        <w:rPr>
          <w:rFonts w:eastAsiaTheme="majorEastAsia"/>
          <w:i/>
          <w:sz w:val="22"/>
          <w:szCs w:val="22"/>
          <w:lang w:eastAsia="en-US"/>
        </w:rPr>
        <w:t>, en su caso, el incremento en tasa</w:t>
      </w:r>
      <w:r w:rsidR="006B491D">
        <w:rPr>
          <w:rFonts w:eastAsiaTheme="majorEastAsia"/>
          <w:i/>
          <w:sz w:val="22"/>
          <w:szCs w:val="22"/>
          <w:lang w:eastAsia="en-US"/>
        </w:rPr>
        <w:t xml:space="preserve"> de interés antes referido debe pactarse a</w:t>
      </w:r>
      <w:r w:rsidRPr="00A507E1">
        <w:rPr>
          <w:rFonts w:eastAsiaTheme="majorEastAsia"/>
          <w:i/>
          <w:sz w:val="22"/>
          <w:szCs w:val="22"/>
          <w:lang w:eastAsia="en-US"/>
        </w:rPr>
        <w:t>l momento de la contratación del crédito</w:t>
      </w:r>
      <w:r w:rsidR="00236205">
        <w:rPr>
          <w:rFonts w:eastAsiaTheme="majorEastAsia"/>
          <w:i/>
          <w:sz w:val="22"/>
          <w:szCs w:val="22"/>
          <w:lang w:eastAsia="en-US"/>
        </w:rPr>
        <w:t xml:space="preserve"> (artículo 63 Bis 2)</w:t>
      </w:r>
      <w:r w:rsidRPr="00A507E1">
        <w:rPr>
          <w:rFonts w:eastAsiaTheme="majorEastAsia"/>
          <w:i/>
          <w:sz w:val="22"/>
          <w:szCs w:val="22"/>
          <w:lang w:eastAsia="en-US"/>
        </w:rPr>
        <w:t>, y ii) obligar al banco acreedor a dar a conocer al cliente la t</w:t>
      </w:r>
      <w:r w:rsidR="006B491D">
        <w:rPr>
          <w:rFonts w:eastAsiaTheme="majorEastAsia"/>
          <w:i/>
          <w:sz w:val="22"/>
          <w:szCs w:val="22"/>
          <w:lang w:eastAsia="en-US"/>
        </w:rPr>
        <w:t xml:space="preserve">asa de interés que aplicaría a </w:t>
      </w:r>
      <w:r w:rsidRPr="00A507E1">
        <w:rPr>
          <w:rFonts w:eastAsiaTheme="majorEastAsia"/>
          <w:i/>
          <w:sz w:val="22"/>
          <w:szCs w:val="22"/>
          <w:lang w:eastAsia="en-US"/>
        </w:rPr>
        <w:t xml:space="preserve">un CAN, así como la tasa </w:t>
      </w:r>
      <w:r w:rsidR="006B491D">
        <w:rPr>
          <w:rFonts w:eastAsiaTheme="majorEastAsia"/>
          <w:i/>
          <w:sz w:val="22"/>
          <w:szCs w:val="22"/>
          <w:lang w:eastAsia="en-US"/>
        </w:rPr>
        <w:t>de interés de un</w:t>
      </w:r>
      <w:r w:rsidRPr="00A507E1">
        <w:rPr>
          <w:rFonts w:eastAsiaTheme="majorEastAsia"/>
          <w:i/>
          <w:sz w:val="22"/>
          <w:szCs w:val="22"/>
          <w:lang w:eastAsia="en-US"/>
        </w:rPr>
        <w:t xml:space="preserve"> crédito no asociado a la nómina</w:t>
      </w:r>
      <w:r w:rsidR="00236205">
        <w:rPr>
          <w:rFonts w:eastAsiaTheme="majorEastAsia"/>
          <w:i/>
          <w:sz w:val="22"/>
          <w:szCs w:val="22"/>
          <w:lang w:eastAsia="en-US"/>
        </w:rPr>
        <w:t xml:space="preserve"> (artículo 63 Bis</w:t>
      </w:r>
      <w:r w:rsidR="00800B02">
        <w:rPr>
          <w:rFonts w:eastAsiaTheme="majorEastAsia"/>
          <w:i/>
          <w:sz w:val="22"/>
          <w:szCs w:val="22"/>
          <w:lang w:eastAsia="en-US"/>
        </w:rPr>
        <w:t xml:space="preserve"> 2</w:t>
      </w:r>
      <w:r w:rsidR="00236205">
        <w:rPr>
          <w:rFonts w:eastAsiaTheme="majorEastAsia"/>
          <w:i/>
          <w:sz w:val="22"/>
          <w:szCs w:val="22"/>
          <w:lang w:eastAsia="en-US"/>
        </w:rPr>
        <w:t>)</w:t>
      </w:r>
      <w:r w:rsidRPr="00A507E1">
        <w:rPr>
          <w:rFonts w:eastAsiaTheme="majorEastAsia"/>
          <w:i/>
          <w:sz w:val="22"/>
          <w:szCs w:val="22"/>
          <w:lang w:eastAsia="en-US"/>
        </w:rPr>
        <w:t>.</w:t>
      </w:r>
    </w:p>
    <w:p w:rsidR="00A507E1" w:rsidRPr="00A507E1" w:rsidRDefault="00A507E1" w:rsidP="00F46AF5">
      <w:pPr>
        <w:spacing w:after="80"/>
        <w:ind w:left="700" w:firstLine="0"/>
        <w:rPr>
          <w:rFonts w:eastAsiaTheme="majorEastAsia"/>
          <w:i/>
          <w:sz w:val="22"/>
          <w:szCs w:val="22"/>
          <w:lang w:eastAsia="en-US"/>
        </w:rPr>
      </w:pPr>
      <w:r w:rsidRPr="00A507E1">
        <w:rPr>
          <w:rFonts w:eastAsiaTheme="majorEastAsia"/>
          <w:i/>
          <w:sz w:val="22"/>
          <w:szCs w:val="22"/>
          <w:lang w:eastAsia="en-US"/>
        </w:rPr>
        <w:t xml:space="preserve">Asimismo, </w:t>
      </w:r>
      <w:r w:rsidR="004E6BF4">
        <w:rPr>
          <w:rFonts w:eastAsiaTheme="majorEastAsia"/>
          <w:i/>
          <w:sz w:val="22"/>
          <w:szCs w:val="22"/>
          <w:lang w:eastAsia="en-US"/>
        </w:rPr>
        <w:t xml:space="preserve">el formato de cancelación del mandato deberá incluir la advertencia </w:t>
      </w:r>
      <w:r w:rsidRPr="00A507E1">
        <w:rPr>
          <w:rFonts w:eastAsiaTheme="majorEastAsia"/>
          <w:i/>
          <w:sz w:val="22"/>
          <w:szCs w:val="22"/>
          <w:lang w:eastAsia="en-US"/>
        </w:rPr>
        <w:t xml:space="preserve">al cliente acreditado </w:t>
      </w:r>
      <w:r w:rsidR="004E6BF4">
        <w:rPr>
          <w:rFonts w:eastAsiaTheme="majorEastAsia"/>
          <w:i/>
          <w:sz w:val="22"/>
          <w:szCs w:val="22"/>
          <w:lang w:eastAsia="en-US"/>
        </w:rPr>
        <w:t>que el banco podrá rescindir el contrato o modificar la tasa de interés</w:t>
      </w:r>
      <w:r w:rsidR="00F52835">
        <w:rPr>
          <w:rFonts w:eastAsiaTheme="majorEastAsia"/>
          <w:i/>
          <w:sz w:val="22"/>
          <w:szCs w:val="22"/>
          <w:lang w:eastAsia="en-US"/>
        </w:rPr>
        <w:t xml:space="preserve"> (anexo 2)</w:t>
      </w:r>
      <w:r w:rsidR="004E6BF4">
        <w:rPr>
          <w:rFonts w:eastAsiaTheme="majorEastAsia"/>
          <w:i/>
          <w:sz w:val="22"/>
          <w:szCs w:val="22"/>
          <w:lang w:eastAsia="en-US"/>
        </w:rPr>
        <w:t>.</w:t>
      </w:r>
    </w:p>
    <w:p w:rsidR="00B96F5F" w:rsidRPr="00BD4569" w:rsidRDefault="00B96F5F" w:rsidP="00F46AF5">
      <w:pPr>
        <w:pStyle w:val="Default"/>
        <w:numPr>
          <w:ilvl w:val="1"/>
          <w:numId w:val="1"/>
        </w:numPr>
        <w:spacing w:before="240" w:after="80"/>
        <w:ind w:left="700" w:hanging="420"/>
        <w:jc w:val="both"/>
        <w:rPr>
          <w:bCs/>
          <w:sz w:val="22"/>
          <w:szCs w:val="22"/>
        </w:rPr>
      </w:pPr>
      <w:r w:rsidRPr="00BD4569">
        <w:rPr>
          <w:bCs/>
          <w:sz w:val="22"/>
          <w:szCs w:val="22"/>
        </w:rPr>
        <w:t xml:space="preserve">Algunos comentarios desestiman la medida al señalar que no resulta útil incrementar la tasa si no existe voluntad de pago. </w:t>
      </w:r>
    </w:p>
    <w:p w:rsidR="00F22CD5" w:rsidRDefault="007C0C0F" w:rsidP="00F46AF5">
      <w:pPr>
        <w:spacing w:after="80"/>
        <w:ind w:left="567" w:firstLine="133"/>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sidRPr="00A507E1">
        <w:rPr>
          <w:rFonts w:eastAsiaTheme="majorEastAsia"/>
          <w:i/>
          <w:sz w:val="22"/>
          <w:szCs w:val="22"/>
          <w:lang w:eastAsia="en-US"/>
        </w:rPr>
        <w:t xml:space="preserve"> </w:t>
      </w:r>
    </w:p>
    <w:p w:rsidR="00B96F5F" w:rsidRDefault="00B96F5F" w:rsidP="00F46AF5">
      <w:pPr>
        <w:spacing w:after="80"/>
        <w:ind w:left="700" w:firstLine="0"/>
        <w:rPr>
          <w:rFonts w:eastAsiaTheme="majorEastAsia"/>
          <w:i/>
          <w:sz w:val="22"/>
          <w:szCs w:val="22"/>
          <w:lang w:eastAsia="en-US"/>
        </w:rPr>
      </w:pPr>
      <w:r w:rsidRPr="00A507E1">
        <w:rPr>
          <w:rFonts w:eastAsiaTheme="majorEastAsia"/>
          <w:i/>
          <w:sz w:val="22"/>
          <w:szCs w:val="22"/>
          <w:lang w:eastAsia="en-US"/>
        </w:rPr>
        <w:t xml:space="preserve">Con respecto a este comentario </w:t>
      </w:r>
      <w:r>
        <w:rPr>
          <w:rFonts w:eastAsiaTheme="majorEastAsia"/>
          <w:i/>
          <w:sz w:val="22"/>
          <w:szCs w:val="22"/>
          <w:lang w:eastAsia="en-US"/>
        </w:rPr>
        <w:t xml:space="preserve">se </w:t>
      </w:r>
      <w:r w:rsidR="00BA437C">
        <w:rPr>
          <w:rFonts w:eastAsiaTheme="majorEastAsia"/>
          <w:i/>
          <w:sz w:val="22"/>
          <w:szCs w:val="22"/>
          <w:lang w:eastAsia="en-US"/>
        </w:rPr>
        <w:t>a</w:t>
      </w:r>
      <w:r w:rsidR="00DD6A33">
        <w:rPr>
          <w:rFonts w:eastAsiaTheme="majorEastAsia"/>
          <w:i/>
          <w:sz w:val="22"/>
          <w:szCs w:val="22"/>
          <w:lang w:eastAsia="en-US"/>
        </w:rPr>
        <w:t xml:space="preserve">clara </w:t>
      </w:r>
      <w:r w:rsidRPr="00A507E1">
        <w:rPr>
          <w:rFonts w:eastAsiaTheme="majorEastAsia"/>
          <w:i/>
          <w:sz w:val="22"/>
          <w:szCs w:val="22"/>
          <w:lang w:eastAsia="en-US"/>
        </w:rPr>
        <w:t>que</w:t>
      </w:r>
      <w:r w:rsidR="009D6D1F">
        <w:rPr>
          <w:rFonts w:eastAsiaTheme="majorEastAsia"/>
          <w:i/>
          <w:sz w:val="22"/>
          <w:szCs w:val="22"/>
          <w:lang w:eastAsia="en-US"/>
        </w:rPr>
        <w:t xml:space="preserve"> la disposición busca alinear los intereses </w:t>
      </w:r>
      <w:r w:rsidR="009D6D1F" w:rsidRPr="00A507E1">
        <w:rPr>
          <w:rFonts w:eastAsiaTheme="majorEastAsia"/>
          <w:i/>
          <w:sz w:val="22"/>
          <w:szCs w:val="22"/>
          <w:lang w:eastAsia="en-US"/>
        </w:rPr>
        <w:t>para generar voluntad de pago</w:t>
      </w:r>
      <w:r w:rsidR="009D6D1F">
        <w:rPr>
          <w:rFonts w:eastAsiaTheme="majorEastAsia"/>
          <w:i/>
          <w:sz w:val="22"/>
          <w:szCs w:val="22"/>
          <w:lang w:eastAsia="en-US"/>
        </w:rPr>
        <w:t xml:space="preserve"> a través diversos mecanismos entre los que se encuentra el </w:t>
      </w:r>
      <w:r w:rsidR="009D6D1F" w:rsidRPr="00A507E1">
        <w:rPr>
          <w:rFonts w:eastAsiaTheme="majorEastAsia"/>
          <w:i/>
          <w:sz w:val="22"/>
          <w:szCs w:val="22"/>
          <w:lang w:eastAsia="en-US"/>
        </w:rPr>
        <w:t>incremento en las condiciones de costo del crédito</w:t>
      </w:r>
      <w:r w:rsidRPr="00A507E1">
        <w:rPr>
          <w:rFonts w:eastAsiaTheme="majorEastAsia"/>
          <w:i/>
          <w:sz w:val="22"/>
          <w:szCs w:val="22"/>
          <w:lang w:eastAsia="en-US"/>
        </w:rPr>
        <w:t xml:space="preserve"> </w:t>
      </w:r>
      <w:r w:rsidR="009D6D1F">
        <w:rPr>
          <w:rFonts w:eastAsiaTheme="majorEastAsia"/>
          <w:i/>
          <w:sz w:val="22"/>
          <w:szCs w:val="22"/>
          <w:lang w:eastAsia="en-US"/>
        </w:rPr>
        <w:t xml:space="preserve">y </w:t>
      </w:r>
      <w:r w:rsidRPr="00A507E1">
        <w:rPr>
          <w:rFonts w:eastAsiaTheme="majorEastAsia"/>
          <w:i/>
          <w:sz w:val="22"/>
          <w:szCs w:val="22"/>
          <w:lang w:eastAsia="en-US"/>
        </w:rPr>
        <w:t xml:space="preserve">la imposibilidad del uso de la cuenta de nómina para </w:t>
      </w:r>
      <w:r w:rsidR="009D6D1F">
        <w:rPr>
          <w:rFonts w:eastAsiaTheme="majorEastAsia"/>
          <w:i/>
          <w:sz w:val="22"/>
          <w:szCs w:val="22"/>
          <w:lang w:eastAsia="en-US"/>
        </w:rPr>
        <w:t>la designación de</w:t>
      </w:r>
      <w:r w:rsidRPr="00A507E1">
        <w:rPr>
          <w:rFonts w:eastAsiaTheme="majorEastAsia"/>
          <w:i/>
          <w:sz w:val="22"/>
          <w:szCs w:val="22"/>
          <w:lang w:eastAsia="en-US"/>
        </w:rPr>
        <w:t xml:space="preserve"> créditos futuros</w:t>
      </w:r>
      <w:r w:rsidR="009D6D1F">
        <w:rPr>
          <w:rFonts w:eastAsiaTheme="majorEastAsia"/>
          <w:i/>
          <w:sz w:val="22"/>
          <w:szCs w:val="22"/>
          <w:lang w:eastAsia="en-US"/>
        </w:rPr>
        <w:t xml:space="preserve"> como CAN </w:t>
      </w:r>
      <w:r w:rsidRPr="00A507E1">
        <w:rPr>
          <w:rFonts w:eastAsiaTheme="majorEastAsia"/>
          <w:i/>
          <w:sz w:val="22"/>
          <w:szCs w:val="22"/>
          <w:lang w:eastAsia="en-US"/>
        </w:rPr>
        <w:t xml:space="preserve">por un periodo de 12 meses. Se considera que este mecanismo no solo dará incentivos a los acreditados a dar servicio a sus obligaciones crediticias sino también a las instituciones de crédito que administran tales cuentas a ofrecer créditos para liquidar las obligaciones </w:t>
      </w:r>
      <w:r w:rsidR="009D6D1F">
        <w:rPr>
          <w:rFonts w:eastAsiaTheme="majorEastAsia"/>
          <w:i/>
          <w:sz w:val="22"/>
          <w:szCs w:val="22"/>
          <w:lang w:eastAsia="en-US"/>
        </w:rPr>
        <w:t>de pago de CAN</w:t>
      </w:r>
      <w:r w:rsidR="00D6487C">
        <w:rPr>
          <w:rFonts w:eastAsiaTheme="majorEastAsia"/>
          <w:i/>
          <w:sz w:val="22"/>
          <w:szCs w:val="22"/>
          <w:lang w:eastAsia="en-US"/>
        </w:rPr>
        <w:t xml:space="preserve"> (artículo 22 Bis 1, fracción I, inciso g))</w:t>
      </w:r>
      <w:r w:rsidR="009D6D1F">
        <w:rPr>
          <w:rFonts w:eastAsiaTheme="majorEastAsia"/>
          <w:i/>
          <w:sz w:val="22"/>
          <w:szCs w:val="22"/>
          <w:lang w:eastAsia="en-US"/>
        </w:rPr>
        <w:t>.</w:t>
      </w:r>
    </w:p>
    <w:p w:rsidR="00C649B8" w:rsidRDefault="00C649B8" w:rsidP="00433FAE">
      <w:pPr>
        <w:spacing w:after="80"/>
        <w:ind w:left="567" w:firstLine="0"/>
        <w:rPr>
          <w:rFonts w:eastAsiaTheme="majorEastAsia"/>
          <w:i/>
          <w:sz w:val="22"/>
          <w:szCs w:val="22"/>
          <w:lang w:eastAsia="en-US"/>
        </w:rPr>
      </w:pPr>
    </w:p>
    <w:p w:rsidR="00577900"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 sobre</w:t>
      </w:r>
      <w:r w:rsidR="008F00FF" w:rsidRPr="007408D8">
        <w:rPr>
          <w:rFonts w:ascii="Cambria" w:eastAsiaTheme="majorEastAsia" w:hAnsi="Cambria" w:cstheme="majorBidi"/>
          <w:bCs w:val="0"/>
          <w:color w:val="365F91"/>
          <w:kern w:val="0"/>
          <w:sz w:val="26"/>
          <w:szCs w:val="26"/>
          <w:lang w:eastAsia="en-US"/>
        </w:rPr>
        <w:t xml:space="preserve"> reclamaciones y controversias.</w:t>
      </w:r>
      <w:r w:rsidR="00577900" w:rsidRPr="007408D8">
        <w:rPr>
          <w:rFonts w:ascii="Cambria" w:eastAsiaTheme="majorEastAsia" w:hAnsi="Cambria" w:cstheme="majorBidi"/>
          <w:bCs w:val="0"/>
          <w:color w:val="365F91"/>
          <w:kern w:val="0"/>
          <w:sz w:val="26"/>
          <w:szCs w:val="26"/>
          <w:lang w:eastAsia="en-US"/>
        </w:rPr>
        <w:t xml:space="preserve"> </w:t>
      </w:r>
    </w:p>
    <w:p w:rsidR="004D3407" w:rsidRPr="00BD4569" w:rsidRDefault="004D3407" w:rsidP="00F46AF5">
      <w:pPr>
        <w:pStyle w:val="Default"/>
        <w:numPr>
          <w:ilvl w:val="1"/>
          <w:numId w:val="1"/>
        </w:numPr>
        <w:spacing w:before="240" w:after="80"/>
        <w:ind w:left="700" w:hanging="420"/>
        <w:jc w:val="both"/>
        <w:rPr>
          <w:bCs/>
          <w:sz w:val="22"/>
          <w:szCs w:val="22"/>
        </w:rPr>
      </w:pPr>
      <w:r w:rsidRPr="00BD4569">
        <w:rPr>
          <w:bCs/>
          <w:sz w:val="22"/>
          <w:szCs w:val="22"/>
        </w:rPr>
        <w:t>Se recibieron comentarios planteando dudas operativas tales como:</w:t>
      </w:r>
    </w:p>
    <w:p w:rsidR="004D3407" w:rsidRPr="00CD4124" w:rsidRDefault="004D3407" w:rsidP="00F46AF5">
      <w:pPr>
        <w:pStyle w:val="Prrafodelista"/>
        <w:numPr>
          <w:ilvl w:val="0"/>
          <w:numId w:val="7"/>
        </w:numPr>
        <w:spacing w:after="80"/>
        <w:ind w:left="1050"/>
        <w:contextualSpacing w:val="0"/>
        <w:rPr>
          <w:rFonts w:cs="Calibri"/>
          <w:sz w:val="22"/>
          <w:szCs w:val="22"/>
        </w:rPr>
      </w:pPr>
      <w:r w:rsidRPr="00CD4124">
        <w:rPr>
          <w:rFonts w:cs="Calibri"/>
          <w:sz w:val="22"/>
          <w:szCs w:val="22"/>
        </w:rPr>
        <w:t>¿Cuál sería el procedimiento a seguir en el caso de que se objeten los cargos generados por las domiciliaciones que se realizan para el pago créditos emitidos por otras instituciones y cómo impacta el crédito?</w:t>
      </w:r>
    </w:p>
    <w:p w:rsidR="004D3407" w:rsidRPr="00CD4124" w:rsidRDefault="004D3407" w:rsidP="00F46AF5">
      <w:pPr>
        <w:pStyle w:val="Prrafodelista"/>
        <w:numPr>
          <w:ilvl w:val="0"/>
          <w:numId w:val="7"/>
        </w:numPr>
        <w:spacing w:after="80"/>
        <w:ind w:left="1050"/>
        <w:contextualSpacing w:val="0"/>
        <w:rPr>
          <w:rFonts w:cs="Calibri"/>
          <w:sz w:val="22"/>
          <w:szCs w:val="22"/>
        </w:rPr>
      </w:pPr>
      <w:r w:rsidRPr="00CD4124">
        <w:rPr>
          <w:rFonts w:cs="Calibri"/>
          <w:sz w:val="22"/>
          <w:szCs w:val="22"/>
        </w:rPr>
        <w:t>¿Qué ocurre cuando un cliente objeta el último pago domiciliado de un crédito para el que ya tiene carta de finiquito?</w:t>
      </w:r>
    </w:p>
    <w:p w:rsidR="004D3407" w:rsidRPr="00CD4124" w:rsidRDefault="004D3407" w:rsidP="00F46AF5">
      <w:pPr>
        <w:pStyle w:val="Prrafodelista"/>
        <w:numPr>
          <w:ilvl w:val="0"/>
          <w:numId w:val="7"/>
        </w:numPr>
        <w:spacing w:after="80"/>
        <w:ind w:left="1050"/>
        <w:contextualSpacing w:val="0"/>
        <w:rPr>
          <w:rFonts w:cs="Calibri"/>
          <w:sz w:val="22"/>
          <w:szCs w:val="22"/>
        </w:rPr>
      </w:pPr>
      <w:r w:rsidRPr="00CD4124">
        <w:rPr>
          <w:rFonts w:cs="Calibri"/>
          <w:sz w:val="22"/>
          <w:szCs w:val="22"/>
        </w:rPr>
        <w:t>¿Qué sucede con el reverso y conteo de intereses y comisiones?</w:t>
      </w:r>
    </w:p>
    <w:p w:rsidR="00D171F0" w:rsidRDefault="00D171F0" w:rsidP="00F46AF5">
      <w:pPr>
        <w:spacing w:after="80"/>
        <w:ind w:left="714" w:firstLine="0"/>
        <w:rPr>
          <w:bCs/>
          <w:i/>
          <w:sz w:val="22"/>
          <w:szCs w:val="22"/>
          <w:u w:val="single"/>
        </w:rPr>
      </w:pPr>
      <w:r w:rsidRPr="00CD4124">
        <w:rPr>
          <w:rFonts w:cs="Calibri"/>
          <w:sz w:val="22"/>
          <w:szCs w:val="22"/>
        </w:rPr>
        <w:t xml:space="preserve">Al respecto, algunos comentarios sugieren remitir al procedimiento previsto en el artículo 23 Ley para la Transparencia y Ordenamiento de los Servicios Financieros, mientras que otros señalan que se debe atender a las reglas previstas en la propia Circular 3/2012 para la objeción de cargos en </w:t>
      </w:r>
      <w:r w:rsidRPr="00E55CB0">
        <w:rPr>
          <w:rFonts w:cs="Calibri"/>
          <w:sz w:val="22"/>
          <w:szCs w:val="22"/>
        </w:rPr>
        <w:t>domiciliación</w:t>
      </w:r>
    </w:p>
    <w:p w:rsidR="00F22CD5" w:rsidRDefault="007C0C0F" w:rsidP="00F46AF5">
      <w:pPr>
        <w:spacing w:after="80"/>
        <w:ind w:left="360" w:firstLine="348"/>
        <w:rPr>
          <w:bCs/>
          <w:i/>
          <w:sz w:val="22"/>
          <w:szCs w:val="22"/>
        </w:rPr>
      </w:pPr>
      <w:r>
        <w:rPr>
          <w:b/>
          <w:color w:val="00B050"/>
          <w:sz w:val="22"/>
        </w:rPr>
        <w:t>Opinión</w:t>
      </w:r>
      <w:r w:rsidR="00F22CD5" w:rsidRPr="005E63C2">
        <w:rPr>
          <w:b/>
          <w:color w:val="00B050"/>
          <w:sz w:val="22"/>
        </w:rPr>
        <w:t xml:space="preserve"> del Banco de México</w:t>
      </w:r>
      <w:r w:rsidR="00F22CD5" w:rsidRPr="00D171F0">
        <w:rPr>
          <w:bCs/>
          <w:i/>
          <w:sz w:val="22"/>
          <w:szCs w:val="22"/>
        </w:rPr>
        <w:t xml:space="preserve"> </w:t>
      </w:r>
    </w:p>
    <w:p w:rsidR="004D3407" w:rsidRPr="0000098B" w:rsidRDefault="00D171F0" w:rsidP="00F46AF5">
      <w:pPr>
        <w:spacing w:after="80"/>
        <w:ind w:left="708" w:firstLine="0"/>
        <w:rPr>
          <w:rFonts w:eastAsiaTheme="majorEastAsia"/>
          <w:i/>
          <w:sz w:val="22"/>
          <w:szCs w:val="22"/>
          <w:lang w:eastAsia="en-US"/>
        </w:rPr>
      </w:pPr>
      <w:r w:rsidRPr="00D171F0">
        <w:rPr>
          <w:bCs/>
          <w:i/>
          <w:sz w:val="22"/>
          <w:szCs w:val="22"/>
        </w:rPr>
        <w:t xml:space="preserve">El propio artículo 23 de la Ley para la Transparencia y Ordenamiento de los Servicios Financieros señala que el procedimiento previsto en dicho artículo se aplicará sin perjuicio de los demás procedimientos y requisitos que impongan otras autoridades financieras facultadas para ello en relación con operaciones materia de su ámbito de competencia. Tal </w:t>
      </w:r>
      <w:r w:rsidRPr="00D171F0">
        <w:rPr>
          <w:bCs/>
          <w:i/>
          <w:sz w:val="22"/>
          <w:szCs w:val="22"/>
        </w:rPr>
        <w:lastRenderedPageBreak/>
        <w:t xml:space="preserve">es el caso de la domiciliación, operación que de conformidad con lo previsto en el artículo 57 de la Ley de Instituciones de Crédito corresponde regular a este Banco </w:t>
      </w:r>
      <w:r w:rsidR="00CF2D40">
        <w:rPr>
          <w:bCs/>
          <w:i/>
          <w:sz w:val="22"/>
          <w:szCs w:val="22"/>
        </w:rPr>
        <w:t>de México</w:t>
      </w:r>
      <w:r w:rsidRPr="00D171F0">
        <w:rPr>
          <w:bCs/>
          <w:i/>
          <w:sz w:val="22"/>
          <w:szCs w:val="22"/>
        </w:rPr>
        <w:t>. Considerando lo anterior,</w:t>
      </w:r>
      <w:r>
        <w:rPr>
          <w:bCs/>
          <w:i/>
          <w:sz w:val="22"/>
          <w:szCs w:val="22"/>
        </w:rPr>
        <w:t xml:space="preserve"> y </w:t>
      </w:r>
      <w:r w:rsidR="004D3407" w:rsidRPr="0000098B">
        <w:rPr>
          <w:rFonts w:eastAsiaTheme="majorEastAsia"/>
          <w:i/>
          <w:sz w:val="22"/>
          <w:szCs w:val="22"/>
          <w:lang w:eastAsia="en-US"/>
        </w:rPr>
        <w:t>reconoc</w:t>
      </w:r>
      <w:r>
        <w:rPr>
          <w:rFonts w:eastAsiaTheme="majorEastAsia"/>
          <w:i/>
          <w:sz w:val="22"/>
          <w:szCs w:val="22"/>
          <w:lang w:eastAsia="en-US"/>
        </w:rPr>
        <w:t xml:space="preserve">iendo </w:t>
      </w:r>
      <w:r w:rsidR="008F00FF">
        <w:rPr>
          <w:rFonts w:eastAsiaTheme="majorEastAsia"/>
          <w:i/>
          <w:sz w:val="22"/>
          <w:szCs w:val="22"/>
          <w:lang w:eastAsia="en-US"/>
        </w:rPr>
        <w:t xml:space="preserve">el fondo del comentario sobre el hecho de tener </w:t>
      </w:r>
      <w:r w:rsidR="004D3407" w:rsidRPr="0000098B">
        <w:rPr>
          <w:rFonts w:eastAsiaTheme="majorEastAsia"/>
          <w:i/>
          <w:sz w:val="22"/>
          <w:szCs w:val="22"/>
          <w:lang w:eastAsia="en-US"/>
        </w:rPr>
        <w:t>un mismo proceso para llevar a cabo todas las objeciones en materia de domiciliación</w:t>
      </w:r>
      <w:r>
        <w:rPr>
          <w:rFonts w:eastAsiaTheme="majorEastAsia"/>
          <w:i/>
          <w:sz w:val="22"/>
          <w:szCs w:val="22"/>
          <w:lang w:eastAsia="en-US"/>
        </w:rPr>
        <w:t xml:space="preserve">, lo que </w:t>
      </w:r>
      <w:r w:rsidR="004D3407" w:rsidRPr="0000098B">
        <w:rPr>
          <w:rFonts w:eastAsiaTheme="majorEastAsia"/>
          <w:i/>
          <w:sz w:val="22"/>
          <w:szCs w:val="22"/>
          <w:lang w:eastAsia="en-US"/>
        </w:rPr>
        <w:t>facilita</w:t>
      </w:r>
      <w:r w:rsidR="00DD6A33">
        <w:rPr>
          <w:rFonts w:eastAsiaTheme="majorEastAsia"/>
          <w:i/>
          <w:sz w:val="22"/>
          <w:szCs w:val="22"/>
          <w:lang w:eastAsia="en-US"/>
        </w:rPr>
        <w:t>ría</w:t>
      </w:r>
      <w:r w:rsidR="004D3407" w:rsidRPr="0000098B">
        <w:rPr>
          <w:rFonts w:eastAsiaTheme="majorEastAsia"/>
          <w:i/>
          <w:sz w:val="22"/>
          <w:szCs w:val="22"/>
          <w:lang w:eastAsia="en-US"/>
        </w:rPr>
        <w:t xml:space="preserve"> el cumplimiento normativo, se ajusta</w:t>
      </w:r>
      <w:r w:rsidR="00C5466B">
        <w:rPr>
          <w:rFonts w:eastAsiaTheme="majorEastAsia"/>
          <w:i/>
          <w:sz w:val="22"/>
          <w:szCs w:val="22"/>
          <w:lang w:eastAsia="en-US"/>
        </w:rPr>
        <w:t xml:space="preserve">rá </w:t>
      </w:r>
      <w:r w:rsidRPr="0000098B">
        <w:rPr>
          <w:rFonts w:eastAsiaTheme="majorEastAsia"/>
          <w:i/>
          <w:sz w:val="22"/>
          <w:szCs w:val="22"/>
          <w:lang w:eastAsia="en-US"/>
        </w:rPr>
        <w:t>la propuesta</w:t>
      </w:r>
      <w:r>
        <w:rPr>
          <w:rFonts w:eastAsiaTheme="majorEastAsia"/>
          <w:i/>
          <w:sz w:val="22"/>
          <w:szCs w:val="22"/>
          <w:lang w:eastAsia="en-US"/>
        </w:rPr>
        <w:t xml:space="preserve"> </w:t>
      </w:r>
      <w:r w:rsidR="00C5466B">
        <w:rPr>
          <w:rFonts w:eastAsiaTheme="majorEastAsia"/>
          <w:i/>
          <w:sz w:val="22"/>
          <w:szCs w:val="22"/>
          <w:lang w:eastAsia="en-US"/>
        </w:rPr>
        <w:t xml:space="preserve">en este sentido a fin de establecer </w:t>
      </w:r>
      <w:r w:rsidR="004D3407" w:rsidRPr="0000098B">
        <w:rPr>
          <w:rFonts w:eastAsiaTheme="majorEastAsia"/>
          <w:i/>
          <w:sz w:val="22"/>
          <w:szCs w:val="22"/>
          <w:lang w:eastAsia="en-US"/>
        </w:rPr>
        <w:t xml:space="preserve">un procedimiento general de objeciones en la domiciliación con las precisiones necesarias, </w:t>
      </w:r>
      <w:r w:rsidR="00C5466B">
        <w:rPr>
          <w:rFonts w:eastAsiaTheme="majorEastAsia"/>
          <w:i/>
          <w:sz w:val="22"/>
          <w:szCs w:val="22"/>
          <w:lang w:eastAsia="en-US"/>
        </w:rPr>
        <w:t>en su caso, tratándose de CAN</w:t>
      </w:r>
      <w:r w:rsidR="000C4D02">
        <w:rPr>
          <w:rFonts w:eastAsiaTheme="majorEastAsia"/>
          <w:i/>
          <w:sz w:val="22"/>
          <w:szCs w:val="22"/>
          <w:lang w:eastAsia="en-US"/>
        </w:rPr>
        <w:t xml:space="preserve"> (artículo</w:t>
      </w:r>
      <w:r w:rsidR="00DC668E">
        <w:rPr>
          <w:rFonts w:eastAsiaTheme="majorEastAsia"/>
          <w:i/>
          <w:sz w:val="22"/>
          <w:szCs w:val="22"/>
          <w:lang w:eastAsia="en-US"/>
        </w:rPr>
        <w:t>s 64 a</w:t>
      </w:r>
      <w:r w:rsidR="000C4D02">
        <w:rPr>
          <w:rFonts w:eastAsiaTheme="majorEastAsia"/>
          <w:i/>
          <w:sz w:val="22"/>
          <w:szCs w:val="22"/>
          <w:lang w:eastAsia="en-US"/>
        </w:rPr>
        <w:t xml:space="preserve"> 6</w:t>
      </w:r>
      <w:r w:rsidR="00DC668E">
        <w:rPr>
          <w:rFonts w:eastAsiaTheme="majorEastAsia"/>
          <w:i/>
          <w:sz w:val="22"/>
          <w:szCs w:val="22"/>
          <w:lang w:eastAsia="en-US"/>
        </w:rPr>
        <w:t>9</w:t>
      </w:r>
      <w:r w:rsidR="000C4D02">
        <w:rPr>
          <w:rFonts w:eastAsiaTheme="majorEastAsia"/>
          <w:i/>
          <w:sz w:val="22"/>
          <w:szCs w:val="22"/>
          <w:lang w:eastAsia="en-US"/>
        </w:rPr>
        <w:t>)</w:t>
      </w:r>
      <w:r w:rsidR="0000098B">
        <w:rPr>
          <w:rFonts w:eastAsiaTheme="majorEastAsia"/>
          <w:i/>
          <w:sz w:val="22"/>
          <w:szCs w:val="22"/>
          <w:lang w:eastAsia="en-US"/>
        </w:rPr>
        <w:t>.</w:t>
      </w:r>
    </w:p>
    <w:p w:rsidR="004D3407" w:rsidRDefault="004D3407" w:rsidP="00F46AF5">
      <w:pPr>
        <w:spacing w:after="80"/>
        <w:ind w:left="708" w:firstLine="0"/>
        <w:rPr>
          <w:rFonts w:eastAsiaTheme="majorEastAsia"/>
          <w:i/>
          <w:sz w:val="22"/>
          <w:szCs w:val="22"/>
          <w:lang w:eastAsia="en-US"/>
        </w:rPr>
      </w:pPr>
      <w:r w:rsidRPr="0000098B">
        <w:rPr>
          <w:rFonts w:eastAsiaTheme="majorEastAsia"/>
          <w:i/>
          <w:sz w:val="22"/>
          <w:szCs w:val="22"/>
          <w:lang w:eastAsia="en-US"/>
        </w:rPr>
        <w:t>En relación con el impacto en el crédito que tendrán los reversos, incluyendo cuando ya se ha entregado la carta de finiquito al cliente, corresponde a las propias instituciones establecer en los contratos de crédito respectivos lo conducente. Se estima que en todo caso el impacto debiera ser el mismo que corresponde a cualquier falta de pago oportuno del crédito</w:t>
      </w:r>
      <w:r w:rsidR="00D171F0">
        <w:rPr>
          <w:rFonts w:eastAsiaTheme="majorEastAsia"/>
          <w:i/>
          <w:sz w:val="22"/>
          <w:szCs w:val="22"/>
          <w:lang w:eastAsia="en-US"/>
        </w:rPr>
        <w:t>,</w:t>
      </w:r>
      <w:r w:rsidRPr="0000098B">
        <w:rPr>
          <w:rFonts w:eastAsiaTheme="majorEastAsia"/>
          <w:i/>
          <w:sz w:val="22"/>
          <w:szCs w:val="22"/>
          <w:lang w:eastAsia="en-US"/>
        </w:rPr>
        <w:t xml:space="preserve"> similar a lo que sucede actualmente con otros créditos cuyo pago se domicilia en caso de objeciones procedentes.</w:t>
      </w:r>
    </w:p>
    <w:p w:rsidR="00C649B8" w:rsidRPr="0000098B" w:rsidRDefault="00C649B8" w:rsidP="00433FAE">
      <w:pPr>
        <w:spacing w:after="80"/>
        <w:ind w:left="360" w:firstLine="0"/>
        <w:rPr>
          <w:rFonts w:eastAsiaTheme="majorEastAsia"/>
          <w:i/>
          <w:sz w:val="22"/>
          <w:szCs w:val="22"/>
          <w:lang w:eastAsia="en-US"/>
        </w:rPr>
      </w:pPr>
    </w:p>
    <w:p w:rsidR="0000098B"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Comentarios s</w:t>
      </w:r>
      <w:r w:rsidR="008F00FF" w:rsidRPr="007408D8">
        <w:rPr>
          <w:rFonts w:ascii="Cambria" w:eastAsiaTheme="majorEastAsia" w:hAnsi="Cambria" w:cstheme="majorBidi"/>
          <w:bCs w:val="0"/>
          <w:color w:val="365F91"/>
          <w:kern w:val="0"/>
          <w:sz w:val="26"/>
          <w:szCs w:val="26"/>
          <w:lang w:eastAsia="en-US"/>
        </w:rPr>
        <w:t>obre la portabilidad de nómina.</w:t>
      </w:r>
      <w:r w:rsidR="00577900" w:rsidRPr="007408D8">
        <w:rPr>
          <w:rFonts w:ascii="Cambria" w:eastAsiaTheme="majorEastAsia" w:hAnsi="Cambria" w:cstheme="majorBidi"/>
          <w:bCs w:val="0"/>
          <w:color w:val="365F91"/>
          <w:kern w:val="0"/>
          <w:sz w:val="26"/>
          <w:szCs w:val="26"/>
          <w:lang w:eastAsia="en-US"/>
        </w:rPr>
        <w:t xml:space="preserve"> </w:t>
      </w:r>
    </w:p>
    <w:p w:rsidR="008929B1" w:rsidRPr="00BD4569" w:rsidRDefault="008929B1" w:rsidP="00F46AF5">
      <w:pPr>
        <w:pStyle w:val="Default"/>
        <w:spacing w:before="240" w:after="80"/>
        <w:ind w:left="322"/>
        <w:jc w:val="both"/>
        <w:rPr>
          <w:bCs/>
          <w:sz w:val="22"/>
          <w:szCs w:val="22"/>
        </w:rPr>
      </w:pPr>
      <w:r w:rsidRPr="00BD4569">
        <w:rPr>
          <w:bCs/>
          <w:sz w:val="22"/>
          <w:szCs w:val="22"/>
        </w:rPr>
        <w:t>Varios de los comentarios recibidos a los artículos relacionados con la transferencia de los recursos de nómina a otro banco presentan solicitudes de carácter operativo, tales como:</w:t>
      </w:r>
    </w:p>
    <w:p w:rsidR="008929B1" w:rsidRPr="007408D8" w:rsidRDefault="008929B1" w:rsidP="00F46AF5">
      <w:pPr>
        <w:pStyle w:val="Default"/>
        <w:numPr>
          <w:ilvl w:val="1"/>
          <w:numId w:val="1"/>
        </w:numPr>
        <w:spacing w:before="240" w:after="80"/>
        <w:ind w:left="742" w:hanging="448"/>
        <w:jc w:val="both"/>
        <w:rPr>
          <w:bCs/>
          <w:sz w:val="22"/>
          <w:szCs w:val="22"/>
        </w:rPr>
      </w:pPr>
      <w:r w:rsidRPr="007408D8">
        <w:rPr>
          <w:bCs/>
          <w:sz w:val="22"/>
          <w:szCs w:val="22"/>
        </w:rPr>
        <w:t>Que la portabilidad pueda solicitarse por banca móvil o se realice la autenticación del cliente mediante “Chip y Nip” en cajeros automáticos. Asimismo</w:t>
      </w:r>
      <w:r w:rsidR="00B86459" w:rsidRPr="007408D8">
        <w:rPr>
          <w:bCs/>
          <w:sz w:val="22"/>
          <w:szCs w:val="22"/>
        </w:rPr>
        <w:t>,</w:t>
      </w:r>
      <w:r w:rsidRPr="007408D8">
        <w:rPr>
          <w:bCs/>
          <w:sz w:val="22"/>
          <w:szCs w:val="22"/>
        </w:rPr>
        <w:t xml:space="preserve"> eliminar el requisito de que la tarjeta de débito tenga impreso el nombre.</w:t>
      </w:r>
    </w:p>
    <w:p w:rsidR="00F22CD5" w:rsidRDefault="007C0C0F" w:rsidP="00F46AF5">
      <w:pPr>
        <w:pStyle w:val="Prrafodelista"/>
        <w:spacing w:after="80"/>
        <w:ind w:left="567" w:firstLine="141"/>
        <w:contextualSpacing w:val="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sidRPr="00205D6E">
        <w:rPr>
          <w:rFonts w:eastAsiaTheme="majorEastAsia"/>
          <w:i/>
          <w:sz w:val="22"/>
          <w:szCs w:val="22"/>
          <w:lang w:eastAsia="en-US"/>
        </w:rPr>
        <w:t xml:space="preserve"> </w:t>
      </w:r>
    </w:p>
    <w:p w:rsidR="008929B1" w:rsidRDefault="00205D6E" w:rsidP="00F46AF5">
      <w:pPr>
        <w:pStyle w:val="Prrafodelista"/>
        <w:spacing w:after="80"/>
        <w:ind w:left="708" w:firstLine="0"/>
        <w:contextualSpacing w:val="0"/>
        <w:rPr>
          <w:rFonts w:eastAsiaTheme="majorEastAsia"/>
          <w:i/>
          <w:sz w:val="22"/>
          <w:szCs w:val="22"/>
          <w:lang w:eastAsia="en-US"/>
        </w:rPr>
      </w:pPr>
      <w:r w:rsidRPr="00205D6E">
        <w:rPr>
          <w:rFonts w:eastAsiaTheme="majorEastAsia"/>
          <w:i/>
          <w:sz w:val="22"/>
          <w:szCs w:val="22"/>
          <w:lang w:eastAsia="en-US"/>
        </w:rPr>
        <w:t>En relación a las flexibilizaciones que proponen de las reglas para contratar la transferencia, se debe considerar que los montos que se pueden operar de manera regular a través de la banca móvil y el cajero automático pudieran ser inferiores a los requeridos para realizar la transferencia del monto total del depósito de nómina</w:t>
      </w:r>
      <w:r w:rsidR="00CF2D40">
        <w:rPr>
          <w:rFonts w:eastAsiaTheme="majorEastAsia"/>
          <w:i/>
          <w:sz w:val="22"/>
          <w:szCs w:val="22"/>
          <w:lang w:eastAsia="en-US"/>
        </w:rPr>
        <w:t>;</w:t>
      </w:r>
      <w:r>
        <w:rPr>
          <w:rFonts w:eastAsiaTheme="majorEastAsia"/>
          <w:sz w:val="22"/>
          <w:szCs w:val="22"/>
          <w:lang w:eastAsia="en-US"/>
        </w:rPr>
        <w:t xml:space="preserve"> asimismo, e</w:t>
      </w:r>
      <w:r w:rsidR="008929B1">
        <w:rPr>
          <w:rFonts w:eastAsiaTheme="majorEastAsia"/>
          <w:i/>
          <w:sz w:val="22"/>
          <w:szCs w:val="22"/>
          <w:lang w:eastAsia="en-US"/>
        </w:rPr>
        <w:t>s importante destacar que el proceso de portabilidad de nómina requiere la identificación inequívoca de la titularidad de la cuenta destino u origen de tal forma que no queda claro en ambas propuestas con cuales elementos se lograría tal identificación (e.g</w:t>
      </w:r>
      <w:r w:rsidR="003C14F0">
        <w:rPr>
          <w:rFonts w:eastAsiaTheme="majorEastAsia"/>
          <w:i/>
          <w:sz w:val="22"/>
          <w:szCs w:val="22"/>
          <w:lang w:eastAsia="en-US"/>
        </w:rPr>
        <w:t>.</w:t>
      </w:r>
      <w:r w:rsidR="008929B1">
        <w:rPr>
          <w:rFonts w:eastAsiaTheme="majorEastAsia"/>
          <w:i/>
          <w:sz w:val="22"/>
          <w:szCs w:val="22"/>
          <w:lang w:eastAsia="en-US"/>
        </w:rPr>
        <w:t xml:space="preserve"> de </w:t>
      </w:r>
      <w:r w:rsidR="008929B1" w:rsidRPr="00A038C6">
        <w:rPr>
          <w:rFonts w:eastAsiaTheme="majorEastAsia"/>
          <w:i/>
          <w:sz w:val="22"/>
          <w:szCs w:val="22"/>
          <w:lang w:eastAsia="en-US"/>
        </w:rPr>
        <w:t>elimina</w:t>
      </w:r>
      <w:r w:rsidR="008929B1">
        <w:rPr>
          <w:rFonts w:eastAsiaTheme="majorEastAsia"/>
          <w:i/>
          <w:sz w:val="22"/>
          <w:szCs w:val="22"/>
          <w:lang w:eastAsia="en-US"/>
        </w:rPr>
        <w:t>r</w:t>
      </w:r>
      <w:r w:rsidR="008929B1" w:rsidRPr="00A038C6">
        <w:rPr>
          <w:rFonts w:eastAsiaTheme="majorEastAsia"/>
          <w:i/>
          <w:sz w:val="22"/>
          <w:szCs w:val="22"/>
          <w:lang w:eastAsia="en-US"/>
        </w:rPr>
        <w:t xml:space="preserve"> el requisito del nombre impreso en la tarjeta de débito</w:t>
      </w:r>
      <w:r w:rsidR="008929B1">
        <w:rPr>
          <w:rFonts w:eastAsiaTheme="majorEastAsia"/>
          <w:i/>
          <w:sz w:val="22"/>
          <w:szCs w:val="22"/>
          <w:lang w:eastAsia="en-US"/>
        </w:rPr>
        <w:t xml:space="preserve"> no habría suficiente evidencia para identificar la </w:t>
      </w:r>
      <w:r w:rsidR="00BA437C">
        <w:rPr>
          <w:rFonts w:eastAsiaTheme="majorEastAsia"/>
          <w:i/>
          <w:sz w:val="22"/>
          <w:szCs w:val="22"/>
          <w:lang w:eastAsia="en-US"/>
        </w:rPr>
        <w:t xml:space="preserve">titularidad de la </w:t>
      </w:r>
      <w:r w:rsidR="008929B1">
        <w:rPr>
          <w:rFonts w:eastAsiaTheme="majorEastAsia"/>
          <w:i/>
          <w:sz w:val="22"/>
          <w:szCs w:val="22"/>
          <w:lang w:eastAsia="en-US"/>
        </w:rPr>
        <w:t>cuenta)</w:t>
      </w:r>
      <w:r w:rsidR="00DD6A33">
        <w:rPr>
          <w:rFonts w:eastAsiaTheme="majorEastAsia"/>
          <w:i/>
          <w:sz w:val="22"/>
          <w:szCs w:val="22"/>
          <w:lang w:eastAsia="en-US"/>
        </w:rPr>
        <w:t>,</w:t>
      </w:r>
      <w:r w:rsidRPr="00DD6A33">
        <w:rPr>
          <w:rFonts w:eastAsiaTheme="majorEastAsia"/>
          <w:i/>
          <w:sz w:val="22"/>
          <w:szCs w:val="22"/>
          <w:lang w:eastAsia="en-US"/>
        </w:rPr>
        <w:t xml:space="preserve"> </w:t>
      </w:r>
      <w:r w:rsidR="00DD6A33" w:rsidRPr="00DD6A33">
        <w:rPr>
          <w:rFonts w:eastAsiaTheme="majorEastAsia"/>
          <w:i/>
          <w:sz w:val="22"/>
          <w:szCs w:val="22"/>
          <w:lang w:eastAsia="en-US"/>
        </w:rPr>
        <w:t>e</w:t>
      </w:r>
      <w:r w:rsidRPr="00205D6E">
        <w:rPr>
          <w:rFonts w:eastAsiaTheme="majorEastAsia"/>
          <w:i/>
          <w:sz w:val="22"/>
          <w:szCs w:val="22"/>
          <w:lang w:eastAsia="en-US"/>
        </w:rPr>
        <w:t>n todo caso sería necesaria una verificación adicional como la que se permite en la fracción II del Artículo 76 de las d</w:t>
      </w:r>
      <w:r w:rsidR="007E359C">
        <w:rPr>
          <w:rFonts w:eastAsiaTheme="majorEastAsia"/>
          <w:i/>
          <w:sz w:val="22"/>
          <w:szCs w:val="22"/>
          <w:lang w:eastAsia="en-US"/>
        </w:rPr>
        <w:t>is</w:t>
      </w:r>
      <w:r w:rsidRPr="00205D6E">
        <w:rPr>
          <w:rFonts w:eastAsiaTheme="majorEastAsia"/>
          <w:i/>
          <w:sz w:val="22"/>
          <w:szCs w:val="22"/>
          <w:lang w:eastAsia="en-US"/>
        </w:rPr>
        <w:t>posiciones propuestas, a través de una transferencia y la consulta del respectivo comprobante.</w:t>
      </w:r>
    </w:p>
    <w:p w:rsidR="008929B1" w:rsidRPr="00F22CD5" w:rsidRDefault="008929B1" w:rsidP="00F46AF5">
      <w:pPr>
        <w:pStyle w:val="Default"/>
        <w:numPr>
          <w:ilvl w:val="1"/>
          <w:numId w:val="1"/>
        </w:numPr>
        <w:spacing w:before="240" w:after="80"/>
        <w:ind w:left="728" w:hanging="586"/>
        <w:jc w:val="both"/>
        <w:rPr>
          <w:bCs/>
          <w:sz w:val="22"/>
          <w:szCs w:val="22"/>
        </w:rPr>
      </w:pPr>
      <w:r w:rsidRPr="00F22CD5">
        <w:rPr>
          <w:bCs/>
          <w:sz w:val="22"/>
          <w:szCs w:val="22"/>
        </w:rPr>
        <w:t xml:space="preserve">La ampliación del horario de trasferencias en lugar de limitarlo a las 15:00 hrs. </w:t>
      </w:r>
    </w:p>
    <w:p w:rsidR="00F22CD5" w:rsidRDefault="007C0C0F" w:rsidP="00F46AF5">
      <w:pPr>
        <w:pStyle w:val="Prrafodelista"/>
        <w:spacing w:after="80"/>
        <w:ind w:left="561" w:firstLine="147"/>
        <w:contextualSpacing w:val="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8929B1" w:rsidRPr="00626FB6" w:rsidRDefault="008929B1" w:rsidP="00F46AF5">
      <w:pPr>
        <w:pStyle w:val="Prrafodelista"/>
        <w:spacing w:after="80"/>
        <w:ind w:left="708" w:firstLine="0"/>
        <w:contextualSpacing w:val="0"/>
        <w:rPr>
          <w:rFonts w:eastAsiaTheme="majorEastAsia"/>
          <w:i/>
          <w:sz w:val="22"/>
          <w:szCs w:val="22"/>
          <w:lang w:eastAsia="en-US"/>
        </w:rPr>
      </w:pPr>
      <w:r>
        <w:rPr>
          <w:rFonts w:eastAsiaTheme="majorEastAsia"/>
          <w:i/>
          <w:sz w:val="22"/>
          <w:szCs w:val="22"/>
          <w:lang w:eastAsia="en-US"/>
        </w:rPr>
        <w:lastRenderedPageBreak/>
        <w:t xml:space="preserve">Esta propuesta </w:t>
      </w:r>
      <w:r w:rsidRPr="00A038C6">
        <w:rPr>
          <w:rFonts w:eastAsiaTheme="majorEastAsia"/>
          <w:i/>
          <w:sz w:val="22"/>
          <w:szCs w:val="22"/>
          <w:lang w:eastAsia="en-US"/>
        </w:rPr>
        <w:t xml:space="preserve">se considera relevante </w:t>
      </w:r>
      <w:r w:rsidR="00F90947">
        <w:rPr>
          <w:rFonts w:eastAsiaTheme="majorEastAsia"/>
          <w:i/>
          <w:sz w:val="22"/>
          <w:szCs w:val="22"/>
          <w:lang w:eastAsia="en-US"/>
        </w:rPr>
        <w:t>por lo que se extenderá el horario a las 17:00</w:t>
      </w:r>
      <w:r w:rsidR="00204518">
        <w:rPr>
          <w:rFonts w:eastAsiaTheme="majorEastAsia"/>
          <w:i/>
          <w:sz w:val="22"/>
          <w:szCs w:val="22"/>
          <w:lang w:eastAsia="en-US"/>
        </w:rPr>
        <w:t xml:space="preserve"> </w:t>
      </w:r>
      <w:r w:rsidR="00F90947">
        <w:rPr>
          <w:rFonts w:eastAsiaTheme="majorEastAsia"/>
          <w:i/>
          <w:sz w:val="22"/>
          <w:szCs w:val="22"/>
          <w:lang w:eastAsia="en-US"/>
        </w:rPr>
        <w:t>hrs</w:t>
      </w:r>
      <w:r w:rsidR="00204518">
        <w:rPr>
          <w:rFonts w:eastAsiaTheme="majorEastAsia"/>
          <w:i/>
          <w:sz w:val="22"/>
          <w:szCs w:val="22"/>
          <w:lang w:eastAsia="en-US"/>
        </w:rPr>
        <w:t>.</w:t>
      </w:r>
      <w:r w:rsidR="00F90947">
        <w:rPr>
          <w:rFonts w:eastAsiaTheme="majorEastAsia"/>
          <w:i/>
          <w:sz w:val="22"/>
          <w:szCs w:val="22"/>
          <w:lang w:eastAsia="en-US"/>
        </w:rPr>
        <w:t xml:space="preserve"> quedando abierto el mismo a comentarios adicionales en el siguiente periodo de consulta</w:t>
      </w:r>
      <w:r w:rsidR="000C4D02">
        <w:rPr>
          <w:rFonts w:eastAsiaTheme="majorEastAsia"/>
          <w:i/>
          <w:sz w:val="22"/>
          <w:szCs w:val="22"/>
          <w:lang w:eastAsia="en-US"/>
        </w:rPr>
        <w:t xml:space="preserve"> (artículo</w:t>
      </w:r>
      <w:r w:rsidR="00DC668E">
        <w:rPr>
          <w:rFonts w:eastAsiaTheme="majorEastAsia"/>
          <w:i/>
          <w:sz w:val="22"/>
          <w:szCs w:val="22"/>
          <w:lang w:eastAsia="en-US"/>
        </w:rPr>
        <w:t>s</w:t>
      </w:r>
      <w:r w:rsidR="000C4D02">
        <w:rPr>
          <w:rFonts w:eastAsiaTheme="majorEastAsia"/>
          <w:i/>
          <w:sz w:val="22"/>
          <w:szCs w:val="22"/>
          <w:lang w:eastAsia="en-US"/>
        </w:rPr>
        <w:t xml:space="preserve"> 75</w:t>
      </w:r>
      <w:r w:rsidR="00DC668E">
        <w:rPr>
          <w:rFonts w:eastAsiaTheme="majorEastAsia"/>
          <w:i/>
          <w:sz w:val="22"/>
          <w:szCs w:val="22"/>
          <w:lang w:eastAsia="en-US"/>
        </w:rPr>
        <w:t xml:space="preserve"> y 77</w:t>
      </w:r>
      <w:r w:rsidR="000C4D02">
        <w:rPr>
          <w:rFonts w:eastAsiaTheme="majorEastAsia"/>
          <w:i/>
          <w:sz w:val="22"/>
          <w:szCs w:val="22"/>
          <w:lang w:eastAsia="en-US"/>
        </w:rPr>
        <w:t>)</w:t>
      </w:r>
      <w:r>
        <w:rPr>
          <w:rFonts w:eastAsiaTheme="majorEastAsia"/>
          <w:i/>
          <w:sz w:val="22"/>
          <w:szCs w:val="22"/>
          <w:lang w:eastAsia="en-US"/>
        </w:rPr>
        <w:t>.</w:t>
      </w:r>
    </w:p>
    <w:p w:rsidR="004C1734" w:rsidRPr="00BE3252" w:rsidRDefault="00F90947" w:rsidP="00F46AF5">
      <w:pPr>
        <w:pStyle w:val="Default"/>
        <w:numPr>
          <w:ilvl w:val="1"/>
          <w:numId w:val="1"/>
        </w:numPr>
        <w:spacing w:before="240" w:after="80"/>
        <w:ind w:left="714" w:hanging="546"/>
        <w:jc w:val="both"/>
        <w:rPr>
          <w:bCs/>
          <w:sz w:val="22"/>
          <w:szCs w:val="22"/>
        </w:rPr>
      </w:pPr>
      <w:r>
        <w:rPr>
          <w:bCs/>
          <w:sz w:val="22"/>
          <w:szCs w:val="22"/>
        </w:rPr>
        <w:t>Proponen e</w:t>
      </w:r>
      <w:r w:rsidR="004C1734" w:rsidRPr="00BE3252">
        <w:rPr>
          <w:bCs/>
          <w:sz w:val="22"/>
          <w:szCs w:val="22"/>
        </w:rPr>
        <w:t xml:space="preserve">stablecer un plazo obligatorio de 6 meses </w:t>
      </w:r>
      <w:r>
        <w:rPr>
          <w:bCs/>
          <w:sz w:val="22"/>
          <w:szCs w:val="22"/>
        </w:rPr>
        <w:t>mismo que debería transcurrir antes de</w:t>
      </w:r>
      <w:r w:rsidR="004C1734" w:rsidRPr="00BE3252">
        <w:rPr>
          <w:bCs/>
          <w:sz w:val="22"/>
          <w:szCs w:val="22"/>
        </w:rPr>
        <w:t xml:space="preserve"> cancelar la portabilidad</w:t>
      </w:r>
      <w:r>
        <w:rPr>
          <w:bCs/>
          <w:sz w:val="22"/>
          <w:szCs w:val="22"/>
        </w:rPr>
        <w:t xml:space="preserve"> de nómina</w:t>
      </w:r>
      <w:r w:rsidR="004C1734" w:rsidRPr="00BE3252">
        <w:rPr>
          <w:bCs/>
          <w:sz w:val="22"/>
          <w:szCs w:val="22"/>
        </w:rPr>
        <w:t>.</w:t>
      </w:r>
    </w:p>
    <w:p w:rsidR="00F22CD5" w:rsidRDefault="007C0C0F" w:rsidP="00F46AF5">
      <w:pPr>
        <w:pStyle w:val="Default"/>
        <w:spacing w:after="80"/>
        <w:ind w:left="567" w:firstLine="141"/>
        <w:jc w:val="both"/>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4C1734" w:rsidRDefault="004C1734" w:rsidP="00F46AF5">
      <w:pPr>
        <w:pStyle w:val="Default"/>
        <w:spacing w:after="80"/>
        <w:ind w:left="708"/>
        <w:jc w:val="both"/>
        <w:rPr>
          <w:bCs/>
          <w:sz w:val="22"/>
          <w:szCs w:val="22"/>
        </w:rPr>
      </w:pPr>
      <w:r w:rsidRPr="00BE3252">
        <w:rPr>
          <w:bCs/>
          <w:i/>
          <w:sz w:val="22"/>
          <w:szCs w:val="22"/>
        </w:rPr>
        <w:t xml:space="preserve">Se considera que el plazo propuesto está dirigido a evitar que un cliente solicite un crédito de nómina y posteriormente </w:t>
      </w:r>
      <w:r w:rsidR="00F90947">
        <w:rPr>
          <w:bCs/>
          <w:i/>
          <w:sz w:val="22"/>
          <w:szCs w:val="22"/>
        </w:rPr>
        <w:t>porte</w:t>
      </w:r>
      <w:r w:rsidRPr="00BE3252">
        <w:rPr>
          <w:bCs/>
          <w:i/>
          <w:sz w:val="22"/>
          <w:szCs w:val="22"/>
        </w:rPr>
        <w:t xml:space="preserve"> su nómina a otro banco</w:t>
      </w:r>
      <w:r w:rsidR="00F90947">
        <w:rPr>
          <w:bCs/>
          <w:i/>
          <w:sz w:val="22"/>
          <w:szCs w:val="22"/>
        </w:rPr>
        <w:t>. S</w:t>
      </w:r>
      <w:r w:rsidRPr="00BE3252">
        <w:rPr>
          <w:bCs/>
          <w:i/>
          <w:sz w:val="22"/>
          <w:szCs w:val="22"/>
        </w:rPr>
        <w:t xml:space="preserve">e considera innecesario </w:t>
      </w:r>
      <w:r w:rsidR="00F90947">
        <w:rPr>
          <w:bCs/>
          <w:i/>
          <w:sz w:val="22"/>
          <w:szCs w:val="22"/>
        </w:rPr>
        <w:t xml:space="preserve">incluir dicho plazo </w:t>
      </w:r>
      <w:r w:rsidRPr="00BE3252">
        <w:rPr>
          <w:bCs/>
          <w:i/>
          <w:sz w:val="22"/>
          <w:szCs w:val="22"/>
        </w:rPr>
        <w:t>bajo la propuesta de disposiciones, ya que el CAN proporciona un mecanismo para poder continuar con el cobro del crédito con independencia del banco que lleve la nómina, siempre y cuando dicho crédito se asocie a la misma.</w:t>
      </w:r>
    </w:p>
    <w:p w:rsidR="008929B1" w:rsidRPr="007408D8" w:rsidRDefault="008929B1" w:rsidP="00F46AF5">
      <w:pPr>
        <w:pStyle w:val="Default"/>
        <w:numPr>
          <w:ilvl w:val="1"/>
          <w:numId w:val="1"/>
        </w:numPr>
        <w:spacing w:before="240" w:after="80"/>
        <w:ind w:left="728" w:hanging="546"/>
        <w:jc w:val="both"/>
        <w:rPr>
          <w:bCs/>
          <w:sz w:val="22"/>
          <w:szCs w:val="22"/>
        </w:rPr>
      </w:pPr>
      <w:r w:rsidRPr="007408D8">
        <w:rPr>
          <w:bCs/>
          <w:sz w:val="22"/>
          <w:szCs w:val="22"/>
        </w:rPr>
        <w:t>Una reducción del tamaño de los mensajes SMS para la notificación de la solicitud de trasferencia de salario</w:t>
      </w:r>
      <w:r w:rsidRPr="00611A89">
        <w:rPr>
          <w:bCs/>
          <w:vertAlign w:val="superscript"/>
        </w:rPr>
        <w:footnoteReference w:id="4"/>
      </w:r>
      <w:r w:rsidRPr="007408D8">
        <w:rPr>
          <w:bCs/>
          <w:sz w:val="22"/>
          <w:szCs w:val="22"/>
        </w:rPr>
        <w:t xml:space="preserve">. </w:t>
      </w:r>
    </w:p>
    <w:p w:rsidR="00F22CD5" w:rsidRDefault="007C0C0F" w:rsidP="00F46AF5">
      <w:pPr>
        <w:spacing w:after="80"/>
        <w:ind w:left="588" w:firstLine="12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8929B1" w:rsidRDefault="008929B1" w:rsidP="00F46AF5">
      <w:pPr>
        <w:spacing w:after="80"/>
        <w:ind w:left="708" w:firstLine="0"/>
        <w:rPr>
          <w:rFonts w:eastAsiaTheme="majorEastAsia"/>
          <w:i/>
          <w:sz w:val="22"/>
          <w:szCs w:val="22"/>
          <w:lang w:eastAsia="en-US"/>
        </w:rPr>
      </w:pPr>
      <w:r>
        <w:rPr>
          <w:rFonts w:eastAsiaTheme="majorEastAsia"/>
          <w:i/>
          <w:sz w:val="22"/>
          <w:szCs w:val="22"/>
          <w:lang w:eastAsia="en-US"/>
        </w:rPr>
        <w:t>L</w:t>
      </w:r>
      <w:r w:rsidRPr="00C50029">
        <w:rPr>
          <w:rFonts w:eastAsiaTheme="majorEastAsia"/>
          <w:i/>
          <w:sz w:val="22"/>
          <w:szCs w:val="22"/>
          <w:lang w:eastAsia="en-US"/>
        </w:rPr>
        <w:t>a longitud actual abarca entre 280 y 300 caracteres</w:t>
      </w:r>
      <w:r>
        <w:rPr>
          <w:rFonts w:eastAsiaTheme="majorEastAsia"/>
          <w:i/>
          <w:sz w:val="22"/>
          <w:szCs w:val="22"/>
          <w:lang w:eastAsia="en-US"/>
        </w:rPr>
        <w:t>.</w:t>
      </w:r>
      <w:r w:rsidR="004C1734">
        <w:rPr>
          <w:rFonts w:eastAsiaTheme="majorEastAsia"/>
          <w:sz w:val="22"/>
          <w:szCs w:val="22"/>
          <w:lang w:eastAsia="en-US"/>
        </w:rPr>
        <w:t xml:space="preserve"> Considerando la petición, s</w:t>
      </w:r>
      <w:r w:rsidR="00CC05D0">
        <w:rPr>
          <w:rFonts w:eastAsiaTheme="majorEastAsia"/>
          <w:i/>
          <w:sz w:val="22"/>
          <w:szCs w:val="22"/>
          <w:lang w:eastAsia="en-US"/>
        </w:rPr>
        <w:t>e hizo</w:t>
      </w:r>
      <w:r>
        <w:rPr>
          <w:rFonts w:eastAsiaTheme="majorEastAsia"/>
          <w:i/>
          <w:sz w:val="22"/>
          <w:szCs w:val="22"/>
          <w:lang w:eastAsia="en-US"/>
        </w:rPr>
        <w:t xml:space="preserve"> </w:t>
      </w:r>
      <w:r w:rsidR="006B0476">
        <w:rPr>
          <w:rFonts w:eastAsiaTheme="majorEastAsia"/>
          <w:i/>
          <w:sz w:val="22"/>
          <w:szCs w:val="22"/>
          <w:lang w:eastAsia="en-US"/>
        </w:rPr>
        <w:t>un</w:t>
      </w:r>
      <w:r w:rsidR="00F90947">
        <w:rPr>
          <w:rFonts w:eastAsiaTheme="majorEastAsia"/>
          <w:i/>
          <w:sz w:val="22"/>
          <w:szCs w:val="22"/>
          <w:lang w:eastAsia="en-US"/>
        </w:rPr>
        <w:t>a</w:t>
      </w:r>
      <w:r>
        <w:rPr>
          <w:rFonts w:eastAsiaTheme="majorEastAsia"/>
          <w:i/>
          <w:sz w:val="22"/>
          <w:szCs w:val="22"/>
          <w:lang w:eastAsia="en-US"/>
        </w:rPr>
        <w:t xml:space="preserve"> reducción del mensaje sin omitir el nombre de</w:t>
      </w:r>
      <w:r w:rsidRPr="00C50029">
        <w:rPr>
          <w:rFonts w:eastAsiaTheme="majorEastAsia"/>
          <w:i/>
          <w:sz w:val="22"/>
          <w:szCs w:val="22"/>
          <w:lang w:eastAsia="en-US"/>
        </w:rPr>
        <w:t xml:space="preserve"> la institución </w:t>
      </w:r>
      <w:r>
        <w:rPr>
          <w:rFonts w:eastAsiaTheme="majorEastAsia"/>
          <w:i/>
          <w:sz w:val="22"/>
          <w:szCs w:val="22"/>
          <w:lang w:eastAsia="en-US"/>
        </w:rPr>
        <w:t xml:space="preserve">ordenante y receptora </w:t>
      </w:r>
      <w:r w:rsidR="004C1734">
        <w:rPr>
          <w:rFonts w:eastAsiaTheme="majorEastAsia"/>
          <w:i/>
          <w:sz w:val="22"/>
          <w:szCs w:val="22"/>
          <w:lang w:eastAsia="en-US"/>
        </w:rPr>
        <w:t xml:space="preserve">así como </w:t>
      </w:r>
      <w:r>
        <w:rPr>
          <w:rFonts w:eastAsiaTheme="majorEastAsia"/>
          <w:i/>
          <w:sz w:val="22"/>
          <w:szCs w:val="22"/>
          <w:lang w:eastAsia="en-US"/>
        </w:rPr>
        <w:t xml:space="preserve">la </w:t>
      </w:r>
      <w:r w:rsidRPr="00C50029">
        <w:rPr>
          <w:rFonts w:eastAsiaTheme="majorEastAsia"/>
          <w:i/>
          <w:sz w:val="22"/>
          <w:szCs w:val="22"/>
          <w:lang w:eastAsia="en-US"/>
        </w:rPr>
        <w:t xml:space="preserve">información para que el cliente pueda objetar </w:t>
      </w:r>
      <w:r>
        <w:rPr>
          <w:rFonts w:eastAsiaTheme="majorEastAsia"/>
          <w:i/>
          <w:sz w:val="22"/>
          <w:szCs w:val="22"/>
          <w:lang w:eastAsia="en-US"/>
        </w:rPr>
        <w:t>l</w:t>
      </w:r>
      <w:r w:rsidRPr="00C50029">
        <w:rPr>
          <w:rFonts w:eastAsiaTheme="majorEastAsia"/>
          <w:i/>
          <w:sz w:val="22"/>
          <w:szCs w:val="22"/>
          <w:lang w:eastAsia="en-US"/>
        </w:rPr>
        <w:t>a operación en caso de no reconocerla</w:t>
      </w:r>
      <w:r>
        <w:rPr>
          <w:rStyle w:val="Refdenotaalpie"/>
          <w:rFonts w:eastAsiaTheme="majorEastAsia"/>
          <w:i/>
          <w:sz w:val="22"/>
          <w:szCs w:val="22"/>
          <w:lang w:eastAsia="en-US"/>
        </w:rPr>
        <w:footnoteReference w:id="5"/>
      </w:r>
      <w:r w:rsidR="000C4D02">
        <w:rPr>
          <w:rFonts w:eastAsiaTheme="majorEastAsia"/>
          <w:i/>
          <w:sz w:val="22"/>
          <w:szCs w:val="22"/>
          <w:lang w:eastAsia="en-US"/>
        </w:rPr>
        <w:t>(artículo 76 Bis, fracción II)</w:t>
      </w:r>
      <w:r w:rsidR="00CC05D0">
        <w:rPr>
          <w:rFonts w:eastAsiaTheme="majorEastAsia"/>
          <w:i/>
          <w:sz w:val="22"/>
          <w:szCs w:val="22"/>
          <w:lang w:eastAsia="en-US"/>
        </w:rPr>
        <w:t>.</w:t>
      </w:r>
    </w:p>
    <w:p w:rsidR="008929B1" w:rsidRPr="00BD4569" w:rsidRDefault="008929B1" w:rsidP="00F46AF5">
      <w:pPr>
        <w:pStyle w:val="Default"/>
        <w:numPr>
          <w:ilvl w:val="1"/>
          <w:numId w:val="1"/>
        </w:numPr>
        <w:spacing w:before="240" w:after="80"/>
        <w:ind w:left="709" w:hanging="527"/>
        <w:jc w:val="both"/>
        <w:rPr>
          <w:bCs/>
          <w:sz w:val="22"/>
          <w:szCs w:val="22"/>
        </w:rPr>
      </w:pPr>
      <w:r w:rsidRPr="00BD4569">
        <w:rPr>
          <w:bCs/>
          <w:sz w:val="22"/>
          <w:szCs w:val="22"/>
        </w:rPr>
        <w:t>Por otra parte, se recibieron comentarios que expresaron preocupación por los requerimientos que se establecen a las cuentas nivel 2 y 3</w:t>
      </w:r>
      <w:r>
        <w:rPr>
          <w:bCs/>
          <w:sz w:val="22"/>
          <w:szCs w:val="22"/>
        </w:rPr>
        <w:t xml:space="preserve"> en el sentido de igualar la documentación nivel 4 para propósitos de portabilidad.</w:t>
      </w:r>
      <w:r w:rsidRPr="00BD4569">
        <w:rPr>
          <w:bCs/>
          <w:sz w:val="22"/>
          <w:szCs w:val="22"/>
        </w:rPr>
        <w:t xml:space="preserve"> </w:t>
      </w:r>
    </w:p>
    <w:p w:rsidR="00F22CD5" w:rsidRDefault="007C0C0F" w:rsidP="00F46AF5">
      <w:pPr>
        <w:spacing w:after="80"/>
        <w:ind w:left="574" w:firstLine="134"/>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8929B1" w:rsidRDefault="00DD6A33" w:rsidP="00F46AF5">
      <w:pPr>
        <w:spacing w:after="80"/>
        <w:ind w:left="708" w:firstLine="0"/>
        <w:rPr>
          <w:rFonts w:eastAsiaTheme="majorEastAsia"/>
          <w:i/>
          <w:sz w:val="22"/>
          <w:szCs w:val="22"/>
          <w:lang w:eastAsia="en-US"/>
        </w:rPr>
      </w:pPr>
      <w:r>
        <w:rPr>
          <w:rFonts w:eastAsiaTheme="majorEastAsia"/>
          <w:i/>
          <w:sz w:val="22"/>
          <w:szCs w:val="22"/>
          <w:lang w:eastAsia="en-US"/>
        </w:rPr>
        <w:t>S</w:t>
      </w:r>
      <w:r w:rsidR="008929B1" w:rsidRPr="00F357E9">
        <w:rPr>
          <w:rFonts w:eastAsiaTheme="majorEastAsia"/>
          <w:i/>
          <w:sz w:val="22"/>
          <w:szCs w:val="22"/>
          <w:lang w:eastAsia="en-US"/>
        </w:rPr>
        <w:t xml:space="preserve">e aclara que no se están imponiendo requerimientos mayores a los que establecen las disposiciones a las que se refiere el artículo 115 de la Ley de instituciones de crédito para su apertura, se están imponiendo requerimientos adicionales a los de contratación para que dicha cuenta pueda ser utilizada como una cuenta receptora de un servicio de </w:t>
      </w:r>
      <w:r w:rsidR="00F90947">
        <w:rPr>
          <w:rFonts w:eastAsiaTheme="majorEastAsia"/>
          <w:i/>
          <w:sz w:val="22"/>
          <w:szCs w:val="22"/>
          <w:lang w:eastAsia="en-US"/>
        </w:rPr>
        <w:t>portabilidad</w:t>
      </w:r>
      <w:r w:rsidR="008929B1" w:rsidRPr="00F357E9">
        <w:rPr>
          <w:rFonts w:eastAsiaTheme="majorEastAsia"/>
          <w:i/>
          <w:sz w:val="22"/>
          <w:szCs w:val="22"/>
          <w:lang w:eastAsia="en-US"/>
        </w:rPr>
        <w:t xml:space="preserve"> de nómina.</w:t>
      </w:r>
    </w:p>
    <w:p w:rsidR="00F357E9" w:rsidRPr="00F357E9" w:rsidRDefault="00F357E9" w:rsidP="00433FAE">
      <w:pPr>
        <w:spacing w:after="80"/>
        <w:ind w:left="357" w:firstLine="0"/>
        <w:rPr>
          <w:rFonts w:eastAsiaTheme="majorEastAsia"/>
          <w:i/>
          <w:sz w:val="22"/>
          <w:szCs w:val="22"/>
          <w:lang w:eastAsia="en-US"/>
        </w:rPr>
      </w:pPr>
    </w:p>
    <w:p w:rsidR="00577900" w:rsidRPr="007408D8" w:rsidRDefault="00E51C33"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 xml:space="preserve">Comentarios sobre la </w:t>
      </w:r>
      <w:r w:rsidR="008F00FF" w:rsidRPr="007408D8">
        <w:rPr>
          <w:rFonts w:ascii="Cambria" w:eastAsiaTheme="majorEastAsia" w:hAnsi="Cambria" w:cstheme="majorBidi"/>
          <w:bCs w:val="0"/>
          <w:color w:val="365F91"/>
          <w:kern w:val="0"/>
          <w:sz w:val="26"/>
          <w:szCs w:val="26"/>
          <w:lang w:eastAsia="en-US"/>
        </w:rPr>
        <w:t>transitoriedad de la regla.</w:t>
      </w:r>
      <w:r w:rsidR="0000098B" w:rsidRPr="007408D8">
        <w:rPr>
          <w:rFonts w:ascii="Cambria" w:eastAsiaTheme="majorEastAsia" w:hAnsi="Cambria" w:cstheme="majorBidi"/>
          <w:bCs w:val="0"/>
          <w:color w:val="365F91"/>
          <w:kern w:val="0"/>
          <w:sz w:val="26"/>
          <w:szCs w:val="26"/>
          <w:lang w:eastAsia="en-US"/>
        </w:rPr>
        <w:t xml:space="preserve"> </w:t>
      </w:r>
    </w:p>
    <w:p w:rsidR="004C1734" w:rsidRDefault="004C1734" w:rsidP="00F46AF5">
      <w:pPr>
        <w:pStyle w:val="Default"/>
        <w:numPr>
          <w:ilvl w:val="1"/>
          <w:numId w:val="1"/>
        </w:numPr>
        <w:adjustRightInd/>
        <w:spacing w:before="240" w:after="80"/>
        <w:ind w:left="709" w:hanging="499"/>
        <w:jc w:val="both"/>
        <w:rPr>
          <w:sz w:val="22"/>
          <w:szCs w:val="22"/>
          <w:lang w:eastAsia="en-US"/>
        </w:rPr>
      </w:pPr>
      <w:r w:rsidRPr="0090469A">
        <w:rPr>
          <w:rFonts w:eastAsiaTheme="majorEastAsia"/>
          <w:sz w:val="22"/>
          <w:szCs w:val="22"/>
          <w:lang w:eastAsia="en-US"/>
        </w:rPr>
        <w:t xml:space="preserve">Respecto a los artículos transitorios propuestos para estas disposiciones, se recibieron comentarios que solicitaban aclaración si había </w:t>
      </w:r>
      <w:r w:rsidRPr="0090469A">
        <w:rPr>
          <w:sz w:val="22"/>
          <w:szCs w:val="22"/>
        </w:rPr>
        <w:t xml:space="preserve">un </w:t>
      </w:r>
      <w:r w:rsidRPr="0090469A">
        <w:rPr>
          <w:sz w:val="22"/>
          <w:szCs w:val="22"/>
        </w:rPr>
        <w:lastRenderedPageBreak/>
        <w:t>efecto retroactivo para modificar contratos de Cuentas Ordenantes existentes.</w:t>
      </w:r>
    </w:p>
    <w:p w:rsidR="00F22CD5" w:rsidRDefault="007C0C0F" w:rsidP="00F46AF5">
      <w:pPr>
        <w:pStyle w:val="Default"/>
        <w:adjustRightInd/>
        <w:spacing w:after="80"/>
        <w:ind w:left="567" w:firstLine="141"/>
        <w:jc w:val="both"/>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4C1734" w:rsidRPr="004C1734" w:rsidRDefault="00F22CD5" w:rsidP="00F46AF5">
      <w:pPr>
        <w:pStyle w:val="Default"/>
        <w:adjustRightInd/>
        <w:spacing w:after="80"/>
        <w:ind w:left="708"/>
        <w:jc w:val="both"/>
        <w:rPr>
          <w:i/>
          <w:sz w:val="22"/>
          <w:szCs w:val="22"/>
          <w:lang w:eastAsia="en-US"/>
        </w:rPr>
      </w:pPr>
      <w:r>
        <w:rPr>
          <w:i/>
          <w:sz w:val="22"/>
          <w:szCs w:val="22"/>
        </w:rPr>
        <w:t>S</w:t>
      </w:r>
      <w:r w:rsidR="004C1734" w:rsidRPr="004C1734">
        <w:rPr>
          <w:i/>
          <w:sz w:val="22"/>
          <w:szCs w:val="22"/>
        </w:rPr>
        <w:t>e aclara que los contratos de créditos y cuentas ordenantes existentes no requieren ser modificados por operaciones concertadas previo a la entrada en vigor de las disposiciones, puesto que los créditos vigentes no son C</w:t>
      </w:r>
      <w:r w:rsidR="00CF2D40">
        <w:rPr>
          <w:i/>
          <w:sz w:val="22"/>
          <w:szCs w:val="22"/>
        </w:rPr>
        <w:t>AN</w:t>
      </w:r>
      <w:r w:rsidR="004C1734" w:rsidRPr="004C1734">
        <w:rPr>
          <w:i/>
          <w:sz w:val="22"/>
          <w:szCs w:val="22"/>
        </w:rPr>
        <w:t xml:space="preserve"> y</w:t>
      </w:r>
      <w:r w:rsidR="00CF2D40">
        <w:rPr>
          <w:i/>
          <w:sz w:val="22"/>
          <w:szCs w:val="22"/>
        </w:rPr>
        <w:t>,</w:t>
      </w:r>
      <w:r w:rsidR="004C1734" w:rsidRPr="004C1734">
        <w:rPr>
          <w:i/>
          <w:sz w:val="22"/>
          <w:szCs w:val="22"/>
        </w:rPr>
        <w:t xml:space="preserve"> por lo tanto</w:t>
      </w:r>
      <w:r w:rsidR="00CF2D40">
        <w:rPr>
          <w:i/>
          <w:sz w:val="22"/>
          <w:szCs w:val="22"/>
        </w:rPr>
        <w:t>,</w:t>
      </w:r>
      <w:r w:rsidR="004C1734" w:rsidRPr="004C1734">
        <w:rPr>
          <w:i/>
          <w:sz w:val="22"/>
          <w:szCs w:val="22"/>
        </w:rPr>
        <w:t xml:space="preserve"> las cuentas ordenantes aún no han recibido una solicitud de asociación de un crédito a dicha nómina.</w:t>
      </w:r>
    </w:p>
    <w:p w:rsidR="00BD20EB" w:rsidRDefault="00CF2D40" w:rsidP="00F46AF5">
      <w:pPr>
        <w:pStyle w:val="Default"/>
        <w:numPr>
          <w:ilvl w:val="1"/>
          <w:numId w:val="1"/>
        </w:numPr>
        <w:adjustRightInd/>
        <w:spacing w:before="240" w:after="80"/>
        <w:ind w:left="709" w:hanging="485"/>
        <w:jc w:val="both"/>
        <w:rPr>
          <w:sz w:val="22"/>
          <w:szCs w:val="22"/>
          <w:lang w:eastAsia="en-US"/>
        </w:rPr>
      </w:pPr>
      <w:r>
        <w:rPr>
          <w:sz w:val="22"/>
          <w:szCs w:val="22"/>
        </w:rPr>
        <w:t>Se recibieron</w:t>
      </w:r>
      <w:r w:rsidR="00BD20EB">
        <w:rPr>
          <w:sz w:val="22"/>
          <w:szCs w:val="22"/>
        </w:rPr>
        <w:t xml:space="preserve"> múltiples comentarios que señalan que </w:t>
      </w:r>
      <w:r>
        <w:rPr>
          <w:sz w:val="22"/>
          <w:szCs w:val="22"/>
        </w:rPr>
        <w:t xml:space="preserve">los bancos </w:t>
      </w:r>
      <w:r w:rsidR="00BD20EB">
        <w:rPr>
          <w:sz w:val="22"/>
          <w:szCs w:val="22"/>
        </w:rPr>
        <w:t>requ</w:t>
      </w:r>
      <w:r w:rsidR="00DA6D2B">
        <w:rPr>
          <w:sz w:val="22"/>
          <w:szCs w:val="22"/>
        </w:rPr>
        <w:t>i</w:t>
      </w:r>
      <w:r w:rsidR="00BD20EB">
        <w:rPr>
          <w:sz w:val="22"/>
          <w:szCs w:val="22"/>
        </w:rPr>
        <w:t>er</w:t>
      </w:r>
      <w:r>
        <w:rPr>
          <w:sz w:val="22"/>
          <w:szCs w:val="22"/>
        </w:rPr>
        <w:t>en</w:t>
      </w:r>
      <w:r w:rsidR="00BD20EB">
        <w:rPr>
          <w:sz w:val="22"/>
          <w:szCs w:val="22"/>
        </w:rPr>
        <w:t xml:space="preserve"> desarrollos de sistemas, modificaciones a sistemas, procesos y contratos (incluyendo autorización de los mismos por la CONDUSEF), así como la previa notificación al cliente con 30 días de anticipación, y el desarrollo de mecanismos para el intercambio de información entre entidades y seguimiento de clientes, por lo que argumentan que los 60 días propuestos para la entrada en vigor pudieran ser insuficientes, señalando como mínimo 12 meses.</w:t>
      </w:r>
    </w:p>
    <w:p w:rsidR="00F22CD5" w:rsidRDefault="007C0C0F" w:rsidP="00F46AF5">
      <w:pPr>
        <w:spacing w:after="80"/>
        <w:ind w:left="567" w:firstLine="141"/>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BD20EB" w:rsidRDefault="00BD20EB" w:rsidP="00F46AF5">
      <w:pPr>
        <w:spacing w:after="80"/>
        <w:ind w:left="708" w:firstLine="0"/>
        <w:rPr>
          <w:i/>
          <w:iCs/>
          <w:sz w:val="22"/>
          <w:szCs w:val="22"/>
        </w:rPr>
      </w:pPr>
      <w:r>
        <w:rPr>
          <w:i/>
          <w:iCs/>
          <w:sz w:val="22"/>
          <w:szCs w:val="22"/>
        </w:rPr>
        <w:t>En relación a los 60 días para la entrada en vigor de las disposiciones, se considera que los 30 días con los que deben notificar a clientes sobre cambios en los contratos permiten tener otros 30 días para la modificaci</w:t>
      </w:r>
      <w:r w:rsidR="00CC05D0">
        <w:rPr>
          <w:i/>
          <w:iCs/>
          <w:sz w:val="22"/>
          <w:szCs w:val="22"/>
        </w:rPr>
        <w:t>ón y autorización de los mismos. Aun cuando</w:t>
      </w:r>
      <w:r>
        <w:rPr>
          <w:i/>
          <w:iCs/>
          <w:sz w:val="22"/>
          <w:szCs w:val="22"/>
        </w:rPr>
        <w:t xml:space="preserve"> ningún comentario presentó un detalle suficiente con respecto a las actividades que requieren realizar para el desarrollo de mecanismos, sistemas y procesos para la operación bajo estas disposiciones, que justifique la solicitud, </w:t>
      </w:r>
      <w:r w:rsidR="00CC05D0">
        <w:rPr>
          <w:i/>
          <w:iCs/>
          <w:sz w:val="22"/>
          <w:szCs w:val="22"/>
        </w:rPr>
        <w:t xml:space="preserve">se concede </w:t>
      </w:r>
      <w:r w:rsidR="004C1734">
        <w:rPr>
          <w:i/>
          <w:iCs/>
          <w:sz w:val="22"/>
          <w:szCs w:val="22"/>
        </w:rPr>
        <w:t>ampliar</w:t>
      </w:r>
      <w:r w:rsidR="00CC05D0">
        <w:rPr>
          <w:i/>
          <w:iCs/>
          <w:sz w:val="22"/>
          <w:szCs w:val="22"/>
        </w:rPr>
        <w:t xml:space="preserve"> 30 días más para quedar en 90</w:t>
      </w:r>
      <w:r w:rsidR="00285AC0">
        <w:rPr>
          <w:i/>
          <w:iCs/>
          <w:sz w:val="22"/>
          <w:szCs w:val="22"/>
        </w:rPr>
        <w:t xml:space="preserve"> (artículo Primero Transitorio)</w:t>
      </w:r>
      <w:r w:rsidR="00CC05D0">
        <w:rPr>
          <w:i/>
          <w:iCs/>
          <w:sz w:val="22"/>
          <w:szCs w:val="22"/>
        </w:rPr>
        <w:t xml:space="preserve">, con el propósito de facilitar </w:t>
      </w:r>
      <w:r w:rsidR="00766197">
        <w:rPr>
          <w:i/>
          <w:iCs/>
          <w:sz w:val="22"/>
          <w:szCs w:val="22"/>
        </w:rPr>
        <w:t xml:space="preserve">su cumplimiento; sin embargo, </w:t>
      </w:r>
      <w:r w:rsidR="00F90947">
        <w:rPr>
          <w:i/>
          <w:iCs/>
          <w:sz w:val="22"/>
          <w:szCs w:val="22"/>
        </w:rPr>
        <w:t xml:space="preserve">se dispone que </w:t>
      </w:r>
      <w:r w:rsidR="00766197">
        <w:rPr>
          <w:i/>
          <w:iCs/>
          <w:sz w:val="22"/>
          <w:szCs w:val="22"/>
        </w:rPr>
        <w:t xml:space="preserve">si la institución no puede implementar lo dispuesto en </w:t>
      </w:r>
      <w:r w:rsidR="00F12D81">
        <w:rPr>
          <w:i/>
          <w:iCs/>
          <w:sz w:val="22"/>
          <w:szCs w:val="22"/>
        </w:rPr>
        <w:t xml:space="preserve">la </w:t>
      </w:r>
      <w:r w:rsidR="00766197">
        <w:rPr>
          <w:i/>
          <w:iCs/>
          <w:sz w:val="22"/>
          <w:szCs w:val="22"/>
        </w:rPr>
        <w:t>circular</w:t>
      </w:r>
      <w:r w:rsidR="00F12D81">
        <w:rPr>
          <w:i/>
          <w:iCs/>
          <w:sz w:val="22"/>
          <w:szCs w:val="22"/>
        </w:rPr>
        <w:t xml:space="preserve"> presentando un dictamen </w:t>
      </w:r>
      <w:r w:rsidR="00F12D81" w:rsidRPr="00F12D81">
        <w:rPr>
          <w:i/>
          <w:iCs/>
          <w:sz w:val="22"/>
          <w:szCs w:val="22"/>
        </w:rPr>
        <w:t xml:space="preserve">suscrito por </w:t>
      </w:r>
      <w:r w:rsidR="00F12D81">
        <w:rPr>
          <w:i/>
          <w:iCs/>
          <w:sz w:val="22"/>
          <w:szCs w:val="22"/>
        </w:rPr>
        <w:t>su</w:t>
      </w:r>
      <w:r w:rsidR="00F12D81" w:rsidRPr="00F12D81">
        <w:rPr>
          <w:i/>
          <w:iCs/>
          <w:sz w:val="22"/>
          <w:szCs w:val="22"/>
        </w:rPr>
        <w:t xml:space="preserve"> auditor interno en el que manifieste que cumple con lo establecido en la</w:t>
      </w:r>
      <w:r w:rsidR="00F12D81">
        <w:rPr>
          <w:i/>
          <w:iCs/>
          <w:sz w:val="22"/>
          <w:szCs w:val="22"/>
        </w:rPr>
        <w:t xml:space="preserve">s reglas del CAN, </w:t>
      </w:r>
      <w:r w:rsidR="00766197">
        <w:rPr>
          <w:i/>
          <w:iCs/>
          <w:sz w:val="22"/>
          <w:szCs w:val="22"/>
        </w:rPr>
        <w:t>a la entrada en vigor de la circular, quedará prohibido otorgar créditos con cargo a la cuenta en la que se depositen las prestaciones laborales, hasta en tanto no se dé cumplimiento a la circular y deberá transparentarse la prohibición en un lugar visible al primer nivel dentro de la página de internet de la entidad de que se trate</w:t>
      </w:r>
      <w:r w:rsidR="00285AC0">
        <w:rPr>
          <w:i/>
          <w:iCs/>
          <w:sz w:val="22"/>
          <w:szCs w:val="22"/>
        </w:rPr>
        <w:t xml:space="preserve"> </w:t>
      </w:r>
      <w:r w:rsidR="00F12D81">
        <w:rPr>
          <w:i/>
          <w:iCs/>
          <w:sz w:val="22"/>
          <w:szCs w:val="22"/>
        </w:rPr>
        <w:t xml:space="preserve">(artículo </w:t>
      </w:r>
      <w:r w:rsidR="00285AC0">
        <w:rPr>
          <w:i/>
          <w:iCs/>
          <w:sz w:val="22"/>
          <w:szCs w:val="22"/>
        </w:rPr>
        <w:t>Segundo Transitorio)</w:t>
      </w:r>
      <w:r w:rsidR="00766197">
        <w:rPr>
          <w:i/>
          <w:iCs/>
          <w:sz w:val="22"/>
          <w:szCs w:val="22"/>
        </w:rPr>
        <w:t>.</w:t>
      </w:r>
    </w:p>
    <w:p w:rsidR="00F90947" w:rsidRDefault="00F90947" w:rsidP="00433FAE">
      <w:pPr>
        <w:spacing w:after="80"/>
        <w:ind w:left="567" w:firstLine="0"/>
        <w:rPr>
          <w:sz w:val="22"/>
          <w:szCs w:val="22"/>
        </w:rPr>
      </w:pPr>
    </w:p>
    <w:p w:rsidR="00577900" w:rsidRPr="007408D8" w:rsidRDefault="00577900" w:rsidP="007408D8">
      <w:pPr>
        <w:pStyle w:val="Ttulo1"/>
        <w:keepLines/>
        <w:numPr>
          <w:ilvl w:val="0"/>
          <w:numId w:val="1"/>
        </w:numPr>
        <w:pBdr>
          <w:left w:val="none" w:sz="0" w:space="0" w:color="auto"/>
          <w:bottom w:val="none" w:sz="0" w:space="0" w:color="auto"/>
          <w:right w:val="none" w:sz="0" w:space="0" w:color="auto"/>
        </w:pBdr>
        <w:spacing w:before="240" w:after="0" w:line="259" w:lineRule="auto"/>
        <w:ind w:left="284"/>
        <w:rPr>
          <w:rFonts w:ascii="Cambria" w:eastAsiaTheme="majorEastAsia" w:hAnsi="Cambria" w:cstheme="majorBidi"/>
          <w:bCs w:val="0"/>
          <w:color w:val="365F91"/>
          <w:kern w:val="0"/>
          <w:sz w:val="26"/>
          <w:szCs w:val="26"/>
          <w:lang w:eastAsia="en-US"/>
        </w:rPr>
      </w:pPr>
      <w:r w:rsidRPr="007408D8">
        <w:rPr>
          <w:rFonts w:ascii="Cambria" w:eastAsiaTheme="majorEastAsia" w:hAnsi="Cambria" w:cstheme="majorBidi"/>
          <w:bCs w:val="0"/>
          <w:color w:val="365F91"/>
          <w:kern w:val="0"/>
          <w:sz w:val="26"/>
          <w:szCs w:val="26"/>
          <w:lang w:eastAsia="en-US"/>
        </w:rPr>
        <w:t>Otros temas operativos relacionados.</w:t>
      </w:r>
    </w:p>
    <w:p w:rsidR="00BD20EB" w:rsidRDefault="00BD20EB" w:rsidP="00F46AF5">
      <w:pPr>
        <w:pStyle w:val="Default"/>
        <w:numPr>
          <w:ilvl w:val="1"/>
          <w:numId w:val="1"/>
        </w:numPr>
        <w:adjustRightInd/>
        <w:spacing w:before="240" w:after="80"/>
        <w:ind w:left="709" w:hanging="485"/>
        <w:jc w:val="both"/>
        <w:rPr>
          <w:sz w:val="22"/>
          <w:szCs w:val="22"/>
        </w:rPr>
      </w:pPr>
      <w:r>
        <w:rPr>
          <w:sz w:val="22"/>
          <w:szCs w:val="22"/>
        </w:rPr>
        <w:t>Se argumenta que cuando ocurra un cambio de banco dispersor la decisión de vincular el crédito que estaba asociado a la cuenta ordenante anterior queda delegada al n</w:t>
      </w:r>
      <w:r w:rsidR="007E359C">
        <w:rPr>
          <w:sz w:val="22"/>
          <w:szCs w:val="22"/>
        </w:rPr>
        <w:t>ó</w:t>
      </w:r>
      <w:r>
        <w:rPr>
          <w:sz w:val="22"/>
          <w:szCs w:val="22"/>
        </w:rPr>
        <w:t xml:space="preserve">mina-habiente. </w:t>
      </w:r>
    </w:p>
    <w:p w:rsidR="00F22CD5" w:rsidRDefault="007C0C0F" w:rsidP="00F46AF5">
      <w:pPr>
        <w:pStyle w:val="Prrafodelista"/>
        <w:spacing w:after="80"/>
        <w:ind w:left="616" w:firstLine="92"/>
        <w:contextualSpacing w:val="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BD20EB" w:rsidRDefault="00BD20EB" w:rsidP="00F46AF5">
      <w:pPr>
        <w:pStyle w:val="Prrafodelista"/>
        <w:spacing w:after="80"/>
        <w:ind w:left="708" w:firstLine="0"/>
        <w:contextualSpacing w:val="0"/>
        <w:rPr>
          <w:rFonts w:ascii="Calibri" w:hAnsi="Calibri"/>
          <w:i/>
          <w:iCs/>
          <w:color w:val="000000"/>
          <w:sz w:val="22"/>
          <w:szCs w:val="22"/>
        </w:rPr>
      </w:pPr>
      <w:r>
        <w:rPr>
          <w:rFonts w:ascii="Calibri" w:hAnsi="Calibri"/>
          <w:i/>
          <w:iCs/>
          <w:color w:val="000000"/>
          <w:sz w:val="22"/>
          <w:szCs w:val="22"/>
        </w:rPr>
        <w:t xml:space="preserve">Para mitigar lo anterior la fracción II del artículo 22 Bis, señala que cuando se abra una Cuenta Ordenante, se hará bajo la condición de que al momento de la apertura de la Cuenta referida, el cuentahabiente le otorgue a esa Institución un mandato que tenga por objeto que esta proporcione información a aquella otra Institución que haya abierto </w:t>
      </w:r>
      <w:r>
        <w:rPr>
          <w:rFonts w:ascii="Calibri" w:hAnsi="Calibri"/>
          <w:i/>
          <w:iCs/>
          <w:color w:val="000000"/>
          <w:sz w:val="22"/>
          <w:szCs w:val="22"/>
        </w:rPr>
        <w:lastRenderedPageBreak/>
        <w:t xml:space="preserve">previamente una Cuenta Ordenante al mismo cuentahabiente, respecto de la cual este haya designado </w:t>
      </w:r>
      <w:r w:rsidR="00285AC0">
        <w:rPr>
          <w:rFonts w:ascii="Calibri" w:hAnsi="Calibri"/>
          <w:i/>
          <w:iCs/>
          <w:color w:val="000000"/>
          <w:sz w:val="22"/>
          <w:szCs w:val="22"/>
        </w:rPr>
        <w:t xml:space="preserve">algún </w:t>
      </w:r>
      <w:r>
        <w:rPr>
          <w:rFonts w:ascii="Calibri" w:hAnsi="Calibri"/>
          <w:i/>
          <w:iCs/>
          <w:color w:val="000000"/>
          <w:sz w:val="22"/>
          <w:szCs w:val="22"/>
        </w:rPr>
        <w:t>CAN y se hayan dejado de realizar abonos de Prestaciones Laborales.</w:t>
      </w:r>
      <w:r w:rsidR="0030671E">
        <w:rPr>
          <w:rFonts w:ascii="Calibri" w:hAnsi="Calibri"/>
          <w:i/>
          <w:iCs/>
          <w:color w:val="000000"/>
          <w:sz w:val="22"/>
          <w:szCs w:val="22"/>
        </w:rPr>
        <w:t xml:space="preserve"> Asimismo, las instituciones que hayan otorgado créditos designados CAN cuentan con un mandato del cliente que le permitiría domiciliar el pago de dichos créditos a la nueva Cuenta Ordenante.</w:t>
      </w:r>
    </w:p>
    <w:p w:rsidR="00BD20EB" w:rsidRDefault="00BD20EB" w:rsidP="00F46AF5">
      <w:pPr>
        <w:pStyle w:val="Default"/>
        <w:numPr>
          <w:ilvl w:val="1"/>
          <w:numId w:val="1"/>
        </w:numPr>
        <w:adjustRightInd/>
        <w:spacing w:before="240" w:after="80"/>
        <w:ind w:left="756" w:hanging="518"/>
        <w:jc w:val="both"/>
        <w:rPr>
          <w:sz w:val="22"/>
          <w:szCs w:val="22"/>
        </w:rPr>
      </w:pPr>
      <w:r>
        <w:rPr>
          <w:sz w:val="22"/>
          <w:szCs w:val="22"/>
        </w:rPr>
        <w:t xml:space="preserve">Se menciona que será técnicamente imposible identificar o distinguir los ingresos derivados de prestaciones laborales cuando estos no son debidamente identificados por el Patrón. </w:t>
      </w:r>
    </w:p>
    <w:p w:rsidR="00F22CD5" w:rsidRDefault="007C0C0F" w:rsidP="00F46AF5">
      <w:pPr>
        <w:pStyle w:val="Prrafodelista"/>
        <w:spacing w:after="80"/>
        <w:ind w:left="616" w:firstLine="92"/>
        <w:contextualSpacing w:val="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BD20EB" w:rsidRDefault="00BD20EB" w:rsidP="00F46AF5">
      <w:pPr>
        <w:pStyle w:val="Prrafodelista"/>
        <w:spacing w:after="80"/>
        <w:ind w:left="708" w:firstLine="0"/>
        <w:contextualSpacing w:val="0"/>
        <w:rPr>
          <w:rFonts w:ascii="Calibri" w:hAnsi="Calibri"/>
          <w:i/>
          <w:iCs/>
          <w:color w:val="000000"/>
          <w:sz w:val="22"/>
          <w:szCs w:val="22"/>
        </w:rPr>
      </w:pPr>
      <w:r>
        <w:rPr>
          <w:rFonts w:ascii="Calibri" w:hAnsi="Calibri"/>
          <w:i/>
          <w:iCs/>
          <w:color w:val="000000"/>
          <w:sz w:val="22"/>
          <w:szCs w:val="22"/>
        </w:rPr>
        <w:t>En estos casos, ningún banco podría otorgar un CAN hasta que el acreditad</w:t>
      </w:r>
      <w:r w:rsidR="008929B1">
        <w:rPr>
          <w:rFonts w:ascii="Calibri" w:hAnsi="Calibri"/>
          <w:i/>
          <w:iCs/>
          <w:color w:val="000000"/>
          <w:sz w:val="22"/>
          <w:szCs w:val="22"/>
        </w:rPr>
        <w:t xml:space="preserve">o o el patrón </w:t>
      </w:r>
      <w:r>
        <w:rPr>
          <w:rFonts w:ascii="Calibri" w:hAnsi="Calibri"/>
          <w:i/>
          <w:iCs/>
          <w:color w:val="000000"/>
          <w:sz w:val="22"/>
          <w:szCs w:val="22"/>
        </w:rPr>
        <w:t>indiquen claramente a la institución de crédito que lleva la cuenta ordenante, cuáles son los abonos que corresponden a prestaciones laborales.</w:t>
      </w:r>
    </w:p>
    <w:p w:rsidR="00BD20EB" w:rsidRDefault="003F0AD7" w:rsidP="00F46AF5">
      <w:pPr>
        <w:pStyle w:val="Default"/>
        <w:numPr>
          <w:ilvl w:val="1"/>
          <w:numId w:val="1"/>
        </w:numPr>
        <w:adjustRightInd/>
        <w:spacing w:before="240" w:after="80"/>
        <w:ind w:left="714" w:hanging="476"/>
        <w:jc w:val="both"/>
        <w:rPr>
          <w:sz w:val="22"/>
          <w:szCs w:val="22"/>
        </w:rPr>
      </w:pPr>
      <w:r>
        <w:rPr>
          <w:sz w:val="22"/>
          <w:szCs w:val="22"/>
        </w:rPr>
        <w:t xml:space="preserve">Otro comentario </w:t>
      </w:r>
      <w:r w:rsidR="00BD20EB">
        <w:rPr>
          <w:sz w:val="22"/>
          <w:szCs w:val="22"/>
        </w:rPr>
        <w:t>sugiere que se reporte a las Sociedades</w:t>
      </w:r>
      <w:r w:rsidR="006B0476">
        <w:rPr>
          <w:sz w:val="22"/>
          <w:szCs w:val="22"/>
        </w:rPr>
        <w:t xml:space="preserve"> de Información Crediticia (SIC</w:t>
      </w:r>
      <w:r w:rsidR="00BD20EB">
        <w:rPr>
          <w:sz w:val="22"/>
          <w:szCs w:val="22"/>
        </w:rPr>
        <w:t>) el lím</w:t>
      </w:r>
      <w:r w:rsidR="006B0476">
        <w:rPr>
          <w:sz w:val="22"/>
          <w:szCs w:val="22"/>
        </w:rPr>
        <w:t>ite de endeudamiento de los CAN</w:t>
      </w:r>
      <w:r w:rsidR="00BD20EB">
        <w:rPr>
          <w:sz w:val="22"/>
          <w:szCs w:val="22"/>
        </w:rPr>
        <w:t xml:space="preserve">, lo cual facilitaría </w:t>
      </w:r>
      <w:r w:rsidR="003C14F0">
        <w:rPr>
          <w:sz w:val="22"/>
          <w:szCs w:val="22"/>
        </w:rPr>
        <w:t xml:space="preserve">la </w:t>
      </w:r>
      <w:r w:rsidR="00BD20EB">
        <w:rPr>
          <w:sz w:val="22"/>
          <w:szCs w:val="22"/>
        </w:rPr>
        <w:t xml:space="preserve">obtención de dicho dato. También se solicitó que se reporten todos los créditos de las Sofomes, </w:t>
      </w:r>
      <w:r w:rsidR="00460B5B">
        <w:rPr>
          <w:sz w:val="22"/>
          <w:szCs w:val="22"/>
        </w:rPr>
        <w:t xml:space="preserve">Instituciones de Tecnología Financiera (ITF) </w:t>
      </w:r>
      <w:r w:rsidR="00BD20EB">
        <w:rPr>
          <w:sz w:val="22"/>
          <w:szCs w:val="22"/>
        </w:rPr>
        <w:t>y otra</w:t>
      </w:r>
      <w:r w:rsidR="006B0476">
        <w:rPr>
          <w:sz w:val="22"/>
          <w:szCs w:val="22"/>
        </w:rPr>
        <w:t>s instituciones que otorgan CAN</w:t>
      </w:r>
      <w:r w:rsidR="00BD20EB">
        <w:rPr>
          <w:sz w:val="22"/>
          <w:szCs w:val="22"/>
        </w:rPr>
        <w:t xml:space="preserve"> a los trabajadores, incluso descontando directo antes de dispersar la nó</w:t>
      </w:r>
      <w:r w:rsidR="006B0476">
        <w:rPr>
          <w:sz w:val="22"/>
          <w:szCs w:val="22"/>
        </w:rPr>
        <w:t>mina y no se reportan a las SIC</w:t>
      </w:r>
      <w:r w:rsidR="00BD20EB">
        <w:rPr>
          <w:sz w:val="22"/>
          <w:szCs w:val="22"/>
        </w:rPr>
        <w:t xml:space="preserve">. </w:t>
      </w:r>
    </w:p>
    <w:p w:rsidR="00F22CD5" w:rsidRDefault="007C0C0F" w:rsidP="00F46AF5">
      <w:pPr>
        <w:pStyle w:val="Prrafodelista"/>
        <w:spacing w:after="80"/>
        <w:ind w:left="630" w:firstLine="78"/>
        <w:contextualSpacing w:val="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BD20EB" w:rsidRDefault="00222547" w:rsidP="00F46AF5">
      <w:pPr>
        <w:pStyle w:val="Prrafodelista"/>
        <w:spacing w:after="80"/>
        <w:ind w:left="708" w:firstLine="0"/>
        <w:contextualSpacing w:val="0"/>
        <w:rPr>
          <w:rFonts w:ascii="Calibri" w:hAnsi="Calibri"/>
          <w:i/>
          <w:iCs/>
          <w:color w:val="000000"/>
          <w:sz w:val="22"/>
          <w:szCs w:val="22"/>
        </w:rPr>
      </w:pPr>
      <w:r>
        <w:rPr>
          <w:rFonts w:ascii="Calibri" w:hAnsi="Calibri"/>
          <w:i/>
          <w:iCs/>
          <w:color w:val="000000"/>
          <w:sz w:val="22"/>
          <w:szCs w:val="22"/>
        </w:rPr>
        <w:t>El</w:t>
      </w:r>
      <w:r w:rsidR="00BD20EB">
        <w:rPr>
          <w:rFonts w:ascii="Calibri" w:hAnsi="Calibri"/>
          <w:i/>
          <w:iCs/>
          <w:color w:val="000000"/>
          <w:sz w:val="22"/>
          <w:szCs w:val="22"/>
        </w:rPr>
        <w:t xml:space="preserve"> límite de endeudamiento de los CAN se obtiene en un plazo de un día hábil bancario a petición de parte tal como se dispone en el artículo 22 bis, fracción I, </w:t>
      </w:r>
      <w:r>
        <w:rPr>
          <w:rFonts w:ascii="Calibri" w:hAnsi="Calibri"/>
          <w:i/>
          <w:iCs/>
          <w:color w:val="000000"/>
          <w:sz w:val="22"/>
          <w:szCs w:val="22"/>
        </w:rPr>
        <w:t xml:space="preserve">inciso </w:t>
      </w:r>
      <w:r w:rsidR="00BD20EB">
        <w:rPr>
          <w:rFonts w:ascii="Calibri" w:hAnsi="Calibri"/>
          <w:i/>
          <w:iCs/>
          <w:color w:val="000000"/>
          <w:sz w:val="22"/>
          <w:szCs w:val="22"/>
        </w:rPr>
        <w:t>b</w:t>
      </w:r>
      <w:r>
        <w:rPr>
          <w:rFonts w:ascii="Calibri" w:hAnsi="Calibri"/>
          <w:i/>
          <w:iCs/>
          <w:color w:val="000000"/>
          <w:sz w:val="22"/>
          <w:szCs w:val="22"/>
        </w:rPr>
        <w:t>).</w:t>
      </w:r>
      <w:r w:rsidR="00BD20EB">
        <w:rPr>
          <w:rFonts w:ascii="Calibri" w:hAnsi="Calibri"/>
          <w:i/>
          <w:iCs/>
          <w:color w:val="000000"/>
          <w:sz w:val="22"/>
          <w:szCs w:val="22"/>
        </w:rPr>
        <w:t xml:space="preserve"> Sin embargo</w:t>
      </w:r>
      <w:r w:rsidR="00204518">
        <w:rPr>
          <w:rFonts w:ascii="Calibri" w:hAnsi="Calibri"/>
          <w:i/>
          <w:iCs/>
          <w:color w:val="000000"/>
          <w:sz w:val="22"/>
          <w:szCs w:val="22"/>
        </w:rPr>
        <w:t>,</w:t>
      </w:r>
      <w:r w:rsidR="00BD20EB">
        <w:rPr>
          <w:rFonts w:ascii="Calibri" w:hAnsi="Calibri"/>
          <w:i/>
          <w:iCs/>
          <w:color w:val="000000"/>
          <w:sz w:val="22"/>
          <w:szCs w:val="22"/>
        </w:rPr>
        <w:t xml:space="preserve"> se considera relevante generar un nuevo campo en el formulario a entregar a las SIC mediante el cual se señale si el crédito en cuestión es un CAN</w:t>
      </w:r>
      <w:r w:rsidR="00766197">
        <w:rPr>
          <w:rFonts w:ascii="Calibri" w:hAnsi="Calibri"/>
          <w:i/>
          <w:iCs/>
          <w:color w:val="000000"/>
          <w:sz w:val="22"/>
          <w:szCs w:val="22"/>
        </w:rPr>
        <w:t>, así como el porcentaje que se consume del servicio de domiciliación de CAN</w:t>
      </w:r>
      <w:r w:rsidR="00BD20EB">
        <w:rPr>
          <w:rFonts w:ascii="Calibri" w:hAnsi="Calibri"/>
          <w:i/>
          <w:iCs/>
          <w:color w:val="000000"/>
          <w:sz w:val="22"/>
          <w:szCs w:val="22"/>
        </w:rPr>
        <w:t>. Paralelamente se recuerda que la Circular 17/2014 que contiene las Disposiciones de carácter general aplicables a la información que las entidades financieras deben proporcionar a las Sociedades de Información Credit</w:t>
      </w:r>
      <w:r w:rsidR="006B0476">
        <w:rPr>
          <w:rFonts w:ascii="Calibri" w:hAnsi="Calibri"/>
          <w:i/>
          <w:iCs/>
          <w:color w:val="000000"/>
          <w:sz w:val="22"/>
          <w:szCs w:val="22"/>
        </w:rPr>
        <w:t>icia, y</w:t>
      </w:r>
      <w:r w:rsidR="00BD20EB">
        <w:rPr>
          <w:rFonts w:ascii="Calibri" w:hAnsi="Calibri"/>
          <w:i/>
          <w:iCs/>
          <w:color w:val="000000"/>
          <w:sz w:val="22"/>
          <w:szCs w:val="22"/>
        </w:rPr>
        <w:t>a obliga a entidades no bancarias a reportar información referente a los créditos que otorguen.</w:t>
      </w:r>
    </w:p>
    <w:p w:rsidR="00BD20EB" w:rsidRDefault="00BD20EB" w:rsidP="00F46AF5">
      <w:pPr>
        <w:pStyle w:val="Default"/>
        <w:numPr>
          <w:ilvl w:val="1"/>
          <w:numId w:val="1"/>
        </w:numPr>
        <w:adjustRightInd/>
        <w:spacing w:before="240" w:after="80"/>
        <w:ind w:left="709" w:hanging="457"/>
        <w:jc w:val="both"/>
        <w:rPr>
          <w:sz w:val="22"/>
          <w:szCs w:val="22"/>
        </w:rPr>
      </w:pPr>
      <w:r>
        <w:rPr>
          <w:sz w:val="22"/>
          <w:szCs w:val="22"/>
        </w:rPr>
        <w:t xml:space="preserve">No se menciona en las Disposiciones “si se puede liquidar más de un crédito con un crédito nuevo otorgado por el banco ordenante”. </w:t>
      </w:r>
    </w:p>
    <w:p w:rsidR="00F22CD5" w:rsidRDefault="007C0C0F" w:rsidP="00F46AF5">
      <w:pPr>
        <w:spacing w:after="80"/>
        <w:ind w:left="658" w:firstLine="5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BD20EB" w:rsidRPr="008929B1" w:rsidRDefault="00BD20EB" w:rsidP="00F46AF5">
      <w:pPr>
        <w:spacing w:after="80"/>
        <w:ind w:left="658" w:firstLine="50"/>
        <w:rPr>
          <w:rFonts w:ascii="Calibri" w:hAnsi="Calibri"/>
          <w:i/>
          <w:iCs/>
          <w:color w:val="000000"/>
          <w:sz w:val="22"/>
          <w:szCs w:val="22"/>
        </w:rPr>
      </w:pPr>
      <w:r w:rsidRPr="008929B1">
        <w:rPr>
          <w:rFonts w:ascii="Calibri" w:hAnsi="Calibri"/>
          <w:i/>
          <w:iCs/>
          <w:color w:val="000000"/>
          <w:sz w:val="22"/>
          <w:szCs w:val="22"/>
        </w:rPr>
        <w:t xml:space="preserve">La institución que otorgue el crédito de que se trate no está condicionada a otorgar hasta un monto máximo, de modo que pudiera ocurrir que ese nuevo crédito que se otorgue al cliente alcance para cubrir la liquidación de más de un crédito previamente contratado.  </w:t>
      </w:r>
    </w:p>
    <w:p w:rsidR="00BD20EB" w:rsidRDefault="00BD20EB" w:rsidP="00F46AF5">
      <w:pPr>
        <w:pStyle w:val="Default"/>
        <w:numPr>
          <w:ilvl w:val="1"/>
          <w:numId w:val="1"/>
        </w:numPr>
        <w:adjustRightInd/>
        <w:spacing w:before="240" w:after="80"/>
        <w:ind w:left="714" w:hanging="448"/>
        <w:jc w:val="both"/>
        <w:rPr>
          <w:sz w:val="22"/>
          <w:szCs w:val="22"/>
        </w:rPr>
      </w:pPr>
      <w:r>
        <w:rPr>
          <w:sz w:val="22"/>
          <w:szCs w:val="22"/>
        </w:rPr>
        <w:t>Con respecto a quién se imputa la responsabilidad cuando ocurran eventos que lleguen a afectar la situación del cliente, por ejemplo cuando los bancos no pudieran operar el cobro de créditos, o cuando hubiera suplantación de identidad.</w:t>
      </w:r>
    </w:p>
    <w:p w:rsidR="00F22CD5" w:rsidRDefault="007C0C0F" w:rsidP="00F46AF5">
      <w:pPr>
        <w:spacing w:after="80"/>
        <w:ind w:left="630" w:firstLine="78"/>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BD20EB" w:rsidRPr="006B0476" w:rsidRDefault="00BD20EB" w:rsidP="00F46AF5">
      <w:pPr>
        <w:spacing w:after="80"/>
        <w:ind w:left="708" w:firstLine="0"/>
        <w:rPr>
          <w:rFonts w:ascii="Calibri" w:hAnsi="Calibri"/>
          <w:i/>
          <w:iCs/>
          <w:color w:val="000000"/>
          <w:sz w:val="20"/>
          <w:szCs w:val="22"/>
        </w:rPr>
      </w:pPr>
      <w:r w:rsidRPr="006B0476">
        <w:rPr>
          <w:i/>
          <w:iCs/>
          <w:color w:val="000000"/>
          <w:sz w:val="22"/>
        </w:rPr>
        <w:lastRenderedPageBreak/>
        <w:t>La responsabilidad recaerá, en aquella entidad que se determine que no se encuentre operando conforme a las disposiciones y demás normativa operativa aplicable.</w:t>
      </w:r>
    </w:p>
    <w:p w:rsidR="00DC034F" w:rsidRDefault="00DC034F" w:rsidP="00F46AF5">
      <w:pPr>
        <w:pStyle w:val="Default"/>
        <w:numPr>
          <w:ilvl w:val="1"/>
          <w:numId w:val="1"/>
        </w:numPr>
        <w:adjustRightInd/>
        <w:spacing w:before="240" w:after="80"/>
        <w:ind w:left="709" w:hanging="457"/>
        <w:jc w:val="both"/>
        <w:rPr>
          <w:sz w:val="22"/>
          <w:szCs w:val="22"/>
        </w:rPr>
      </w:pPr>
      <w:r w:rsidRPr="005F1F33">
        <w:rPr>
          <w:sz w:val="22"/>
          <w:szCs w:val="22"/>
        </w:rPr>
        <w:t xml:space="preserve">Otro comentario solicitó que por consistencia </w:t>
      </w:r>
      <w:r>
        <w:rPr>
          <w:sz w:val="22"/>
          <w:szCs w:val="22"/>
        </w:rPr>
        <w:t>de la regla se debe</w:t>
      </w:r>
      <w:r w:rsidRPr="005F1F33">
        <w:rPr>
          <w:sz w:val="22"/>
          <w:szCs w:val="22"/>
        </w:rPr>
        <w:t xml:space="preserve"> ajustar el Anexo 4 de la Circular 3/2012 para poder realizar la solicitud de la Portabilidad de Nómina a través de sucursal con tarjeta de débito de la cuenta ordenante</w:t>
      </w:r>
      <w:r>
        <w:rPr>
          <w:sz w:val="22"/>
          <w:szCs w:val="22"/>
        </w:rPr>
        <w:t>.</w:t>
      </w:r>
    </w:p>
    <w:p w:rsidR="00F22CD5" w:rsidRDefault="007C0C0F" w:rsidP="00F46AF5">
      <w:pPr>
        <w:pStyle w:val="Prrafodelista"/>
        <w:spacing w:after="80"/>
        <w:ind w:left="630" w:firstLine="78"/>
        <w:contextualSpacing w:val="0"/>
        <w:rPr>
          <w:rFonts w:eastAsiaTheme="majorEastAsia"/>
          <w:i/>
          <w:sz w:val="22"/>
          <w:szCs w:val="22"/>
          <w:lang w:eastAsia="en-US"/>
        </w:rPr>
      </w:pPr>
      <w:r>
        <w:rPr>
          <w:b/>
          <w:color w:val="00B050"/>
          <w:sz w:val="22"/>
        </w:rPr>
        <w:t>Opinión</w:t>
      </w:r>
      <w:r w:rsidR="00F22CD5" w:rsidRPr="005E63C2">
        <w:rPr>
          <w:b/>
          <w:color w:val="00B050"/>
          <w:sz w:val="22"/>
        </w:rPr>
        <w:t xml:space="preserve"> del Banco de México</w:t>
      </w:r>
      <w:r w:rsidR="00F22CD5">
        <w:rPr>
          <w:rFonts w:eastAsiaTheme="majorEastAsia"/>
          <w:i/>
          <w:sz w:val="22"/>
          <w:szCs w:val="22"/>
          <w:lang w:eastAsia="en-US"/>
        </w:rPr>
        <w:t xml:space="preserve"> </w:t>
      </w:r>
    </w:p>
    <w:p w:rsidR="00DC034F" w:rsidRDefault="00DC034F" w:rsidP="00F46AF5">
      <w:pPr>
        <w:pStyle w:val="Prrafodelista"/>
        <w:spacing w:after="80"/>
        <w:ind w:left="630" w:firstLine="78"/>
        <w:contextualSpacing w:val="0"/>
        <w:rPr>
          <w:rFonts w:ascii="Calibri" w:hAnsi="Calibri"/>
          <w:color w:val="000000"/>
          <w:sz w:val="22"/>
          <w:szCs w:val="22"/>
        </w:rPr>
      </w:pPr>
      <w:r>
        <w:rPr>
          <w:i/>
          <w:iCs/>
          <w:color w:val="000000"/>
          <w:sz w:val="22"/>
        </w:rPr>
        <w:t>S</w:t>
      </w:r>
      <w:r w:rsidRPr="00DC034F">
        <w:rPr>
          <w:i/>
          <w:iCs/>
          <w:color w:val="000000"/>
          <w:sz w:val="22"/>
        </w:rPr>
        <w:t xml:space="preserve">e toma en consideración el comentario </w:t>
      </w:r>
      <w:r w:rsidR="0023400C">
        <w:rPr>
          <w:i/>
          <w:iCs/>
          <w:color w:val="000000"/>
          <w:sz w:val="22"/>
        </w:rPr>
        <w:t xml:space="preserve">para </w:t>
      </w:r>
      <w:r w:rsidRPr="00DC034F">
        <w:rPr>
          <w:i/>
          <w:iCs/>
          <w:color w:val="000000"/>
          <w:sz w:val="22"/>
        </w:rPr>
        <w:t>realizar los ajustes pertinentes</w:t>
      </w:r>
      <w:r w:rsidR="00222547">
        <w:rPr>
          <w:i/>
          <w:iCs/>
          <w:color w:val="000000"/>
          <w:sz w:val="22"/>
        </w:rPr>
        <w:t xml:space="preserve"> (</w:t>
      </w:r>
      <w:r w:rsidR="0076703D">
        <w:rPr>
          <w:i/>
          <w:iCs/>
          <w:color w:val="000000"/>
          <w:sz w:val="22"/>
        </w:rPr>
        <w:t>A</w:t>
      </w:r>
      <w:r w:rsidR="00222547">
        <w:rPr>
          <w:i/>
          <w:iCs/>
          <w:color w:val="000000"/>
          <w:sz w:val="22"/>
        </w:rPr>
        <w:t>nexo 4)</w:t>
      </w:r>
      <w:r>
        <w:rPr>
          <w:rFonts w:ascii="Calibri" w:hAnsi="Calibri"/>
          <w:color w:val="000000"/>
          <w:sz w:val="22"/>
          <w:szCs w:val="22"/>
        </w:rPr>
        <w:t>.</w:t>
      </w:r>
    </w:p>
    <w:sectPr w:rsidR="00DC034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61" w:rsidRDefault="00447061" w:rsidP="003D11B0">
      <w:pPr>
        <w:spacing w:after="0"/>
      </w:pPr>
      <w:r>
        <w:separator/>
      </w:r>
    </w:p>
  </w:endnote>
  <w:endnote w:type="continuationSeparator" w:id="0">
    <w:p w:rsidR="00447061" w:rsidRDefault="00447061" w:rsidP="003D1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99934"/>
      <w:docPartObj>
        <w:docPartGallery w:val="Page Numbers (Bottom of Page)"/>
        <w:docPartUnique/>
      </w:docPartObj>
    </w:sdtPr>
    <w:sdtEndPr/>
    <w:sdtContent>
      <w:p w:rsidR="008F00FF" w:rsidRDefault="008F00FF" w:rsidP="008F00FF">
        <w:pPr>
          <w:pStyle w:val="Piedepgina"/>
          <w:jc w:val="right"/>
        </w:pPr>
        <w:r>
          <w:fldChar w:fldCharType="begin"/>
        </w:r>
        <w:r>
          <w:instrText>PAGE   \* MERGEFORMAT</w:instrText>
        </w:r>
        <w:r>
          <w:fldChar w:fldCharType="separate"/>
        </w:r>
        <w:r w:rsidR="008B40E8" w:rsidRPr="008B40E8">
          <w:rPr>
            <w:noProof/>
            <w:lang w:val="es-ES"/>
          </w:rPr>
          <w:t>1</w:t>
        </w:r>
        <w:r>
          <w:fldChar w:fldCharType="end"/>
        </w:r>
      </w:p>
    </w:sdtContent>
  </w:sdt>
  <w:p w:rsidR="008F00FF" w:rsidRDefault="006B5F51">
    <w:pPr>
      <w:pStyle w:val="Piedepgina"/>
    </w:pPr>
    <w:r>
      <w:rPr>
        <w:bCs/>
        <w:color w:val="BFBFBF" w:themeColor="background1" w:themeShade="BF"/>
        <w:sz w:val="16"/>
        <w:szCs w:val="16"/>
      </w:rPr>
      <w:t xml:space="preserve">Reporte de comentarios | Circular 3/2012 Remuneraciones | </w:t>
    </w:r>
    <w:r w:rsidR="00460B5B">
      <w:rPr>
        <w:bCs/>
        <w:color w:val="BFBFBF" w:themeColor="background1" w:themeShade="BF"/>
        <w:sz w:val="16"/>
        <w:szCs w:val="16"/>
      </w:rPr>
      <w:t xml:space="preserve">13 </w:t>
    </w:r>
    <w:r>
      <w:rPr>
        <w:bCs/>
        <w:color w:val="BFBFBF" w:themeColor="background1" w:themeShade="BF"/>
        <w:sz w:val="16"/>
        <w:szCs w:val="16"/>
      </w:rPr>
      <w:t xml:space="preserve">de </w:t>
    </w:r>
    <w:r w:rsidR="0030671E">
      <w:rPr>
        <w:bCs/>
        <w:color w:val="BFBFBF" w:themeColor="background1" w:themeShade="BF"/>
        <w:sz w:val="16"/>
        <w:szCs w:val="16"/>
      </w:rPr>
      <w:t>ju</w:t>
    </w:r>
    <w:r w:rsidR="00460B5B">
      <w:rPr>
        <w:bCs/>
        <w:color w:val="BFBFBF" w:themeColor="background1" w:themeShade="BF"/>
        <w:sz w:val="16"/>
        <w:szCs w:val="16"/>
      </w:rPr>
      <w:t>l</w:t>
    </w:r>
    <w:r w:rsidR="0030671E">
      <w:rPr>
        <w:bCs/>
        <w:color w:val="BFBFBF" w:themeColor="background1" w:themeShade="BF"/>
        <w:sz w:val="16"/>
        <w:szCs w:val="16"/>
      </w:rPr>
      <w:t>io</w:t>
    </w:r>
    <w:r>
      <w:rPr>
        <w:bCs/>
        <w:color w:val="BFBFBF" w:themeColor="background1" w:themeShade="BF"/>
        <w:sz w:val="16"/>
        <w:szCs w:val="16"/>
      </w:rPr>
      <w:t xml:space="preserve"> de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61" w:rsidRDefault="00447061" w:rsidP="003D11B0">
      <w:pPr>
        <w:spacing w:after="0"/>
      </w:pPr>
      <w:r>
        <w:separator/>
      </w:r>
    </w:p>
  </w:footnote>
  <w:footnote w:type="continuationSeparator" w:id="0">
    <w:p w:rsidR="00447061" w:rsidRDefault="00447061" w:rsidP="003D11B0">
      <w:pPr>
        <w:spacing w:after="0"/>
      </w:pPr>
      <w:r>
        <w:continuationSeparator/>
      </w:r>
    </w:p>
  </w:footnote>
  <w:footnote w:id="1">
    <w:p w:rsidR="00C756FB" w:rsidRPr="001E059E" w:rsidRDefault="00C756FB">
      <w:pPr>
        <w:pStyle w:val="Textonotapie"/>
        <w:rPr>
          <w:sz w:val="18"/>
          <w:szCs w:val="18"/>
        </w:rPr>
      </w:pPr>
      <w:r w:rsidRPr="001E059E">
        <w:rPr>
          <w:rStyle w:val="Refdenotaalpie"/>
          <w:sz w:val="18"/>
          <w:szCs w:val="18"/>
        </w:rPr>
        <w:footnoteRef/>
      </w:r>
      <w:r w:rsidRPr="001E059E">
        <w:rPr>
          <w:sz w:val="18"/>
          <w:szCs w:val="18"/>
        </w:rPr>
        <w:t xml:space="preserve"> El cliente deberá comprobar que tales recursos provienen de prestaciones laborales.</w:t>
      </w:r>
    </w:p>
  </w:footnote>
  <w:footnote w:id="2">
    <w:p w:rsidR="00466D0B" w:rsidRPr="00466D0B" w:rsidRDefault="003D11B0" w:rsidP="00EB57F4">
      <w:pPr>
        <w:pStyle w:val="Prrafodelista"/>
        <w:spacing w:after="0"/>
        <w:ind w:firstLine="0"/>
        <w:rPr>
          <w:rFonts w:eastAsiaTheme="majorEastAsia"/>
          <w:sz w:val="18"/>
          <w:szCs w:val="18"/>
          <w:lang w:eastAsia="en-US"/>
        </w:rPr>
      </w:pPr>
      <w:r w:rsidRPr="00EB57F4">
        <w:rPr>
          <w:rStyle w:val="Refdenotaalpie"/>
          <w:sz w:val="18"/>
        </w:rPr>
        <w:footnoteRef/>
      </w:r>
      <w:r w:rsidRPr="00EB57F4">
        <w:rPr>
          <w:sz w:val="18"/>
        </w:rPr>
        <w:t xml:space="preserve"> </w:t>
      </w:r>
      <w:r w:rsidR="00466D0B" w:rsidRPr="00466D0B">
        <w:rPr>
          <w:rFonts w:eastAsiaTheme="majorEastAsia"/>
          <w:sz w:val="18"/>
          <w:szCs w:val="18"/>
          <w:lang w:eastAsia="en-US"/>
        </w:rPr>
        <w:t>Momento o periodicidad de cálculo del promedio de depósitos, tiempo con el que se cuenta para realizar el cálculo, responsabilidad del banco ordenante por un cálculo incorrecto, como calcularlo para créditos con tasa variables, como proceder cuando es superado el límite por el cobro de comisiones o intereses moratorios,</w:t>
      </w:r>
      <w:r w:rsidR="00466D0B">
        <w:rPr>
          <w:rFonts w:eastAsiaTheme="majorEastAsia"/>
          <w:sz w:val="18"/>
          <w:szCs w:val="18"/>
          <w:lang w:eastAsia="en-US"/>
        </w:rPr>
        <w:t xml:space="preserve"> s</w:t>
      </w:r>
      <w:r w:rsidR="00466D0B" w:rsidRPr="00466D0B">
        <w:rPr>
          <w:rFonts w:cs="Calibri"/>
          <w:sz w:val="18"/>
          <w:szCs w:val="18"/>
        </w:rPr>
        <w:t>i los créditos otorgados con anterioridad a las disposiciones son considerados o no para el cálculo del monto promedio mensual.</w:t>
      </w:r>
    </w:p>
    <w:p w:rsidR="003D11B0" w:rsidRDefault="003D11B0">
      <w:pPr>
        <w:pStyle w:val="Textonotapie"/>
      </w:pPr>
    </w:p>
  </w:footnote>
  <w:footnote w:id="3">
    <w:p w:rsidR="006B491D" w:rsidRPr="006B491D" w:rsidRDefault="006B491D">
      <w:pPr>
        <w:pStyle w:val="Textonotapie"/>
        <w:rPr>
          <w:sz w:val="18"/>
        </w:rPr>
      </w:pPr>
      <w:r>
        <w:rPr>
          <w:rStyle w:val="Refdenotaalpie"/>
        </w:rPr>
        <w:footnoteRef/>
      </w:r>
      <w:r>
        <w:t xml:space="preserve"> </w:t>
      </w:r>
      <w:r w:rsidRPr="006B491D">
        <w:rPr>
          <w:sz w:val="18"/>
        </w:rPr>
        <w:t>Similar a lo que establece nuestra circular 14/2017 en materia de tasas de inter</w:t>
      </w:r>
      <w:r>
        <w:rPr>
          <w:sz w:val="18"/>
        </w:rPr>
        <w:t>és.</w:t>
      </w:r>
    </w:p>
  </w:footnote>
  <w:footnote w:id="4">
    <w:p w:rsidR="008929B1" w:rsidRPr="00C45FCB" w:rsidRDefault="008929B1" w:rsidP="008941F0">
      <w:pPr>
        <w:pStyle w:val="Textonotapie"/>
        <w:ind w:left="714" w:firstLine="193"/>
        <w:rPr>
          <w:sz w:val="16"/>
        </w:rPr>
      </w:pPr>
      <w:r>
        <w:rPr>
          <w:rStyle w:val="Refdenotaalpie"/>
        </w:rPr>
        <w:footnoteRef/>
      </w:r>
      <w:r>
        <w:t xml:space="preserve"> “</w:t>
      </w:r>
      <w:r w:rsidRPr="00C45FCB">
        <w:rPr>
          <w:rFonts w:eastAsiaTheme="minorEastAsia" w:cs="Calibri"/>
          <w:sz w:val="18"/>
        </w:rPr>
        <w:t>Recibimos de (Nombre corto conforme al catálogo del Marco Normativo del Banco Receptor) la solicitud que usted le presentó para que se transfieran sus recursos de salario a partir del DD/MM/AA</w:t>
      </w:r>
      <w:r>
        <w:rPr>
          <w:rFonts w:eastAsiaTheme="minorEastAsia" w:cs="Calibri"/>
          <w:sz w:val="18"/>
        </w:rPr>
        <w:t>”</w:t>
      </w:r>
    </w:p>
  </w:footnote>
  <w:footnote w:id="5">
    <w:p w:rsidR="008929B1" w:rsidRPr="00C45FCB" w:rsidRDefault="008929B1" w:rsidP="008941F0">
      <w:pPr>
        <w:pStyle w:val="Textonotapie"/>
        <w:ind w:left="714" w:firstLine="193"/>
        <w:rPr>
          <w:sz w:val="18"/>
        </w:rPr>
      </w:pPr>
      <w:r>
        <w:rPr>
          <w:rStyle w:val="Refdenotaalpie"/>
        </w:rPr>
        <w:footnoteRef/>
      </w:r>
      <w:r>
        <w:t xml:space="preserve"> </w:t>
      </w:r>
      <w:r w:rsidR="000C4D02" w:rsidRPr="000C4D02">
        <w:rPr>
          <w:rFonts w:cs="Calibri"/>
          <w:color w:val="000000"/>
          <w:sz w:val="18"/>
          <w:u w:val="single"/>
        </w:rPr>
        <w:t>“[Denominación o nombre comercial de la Institución Ordenante]   ha recibido su solicitud para que los depósitos de su salario, pensiones y prestaciones laborales se transfieran a partir del   [día]/[mes]/[año]  * a la cuenta de   [denominación o nombre comercial de la Institución Receptora]   indicada en su solicitud. Para dudas o aclaraciones acuda a nuestras sucursales o comuníquese al   [_________]  .**”</w:t>
      </w:r>
      <w:r w:rsidR="00B86459">
        <w:rPr>
          <w:sz w:val="18"/>
        </w:rPr>
        <w:t xml:space="preserve"> (294 caracteres)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45" w:rsidRDefault="00335045">
    <w:pPr>
      <w:pStyle w:val="Encabezado"/>
    </w:pPr>
    <w:r w:rsidRPr="00335045">
      <w:rPr>
        <w:rFonts w:ascii="Calibri" w:hAnsi="Calibri"/>
        <w:noProof/>
        <w:lang w:val="en-US" w:eastAsia="en-US"/>
      </w:rPr>
      <w:drawing>
        <wp:anchor distT="0" distB="0" distL="114300" distR="114300" simplePos="0" relativeHeight="251659264" behindDoc="1" locked="0" layoutInCell="1" allowOverlap="1" wp14:anchorId="2AB197E4" wp14:editId="7A1CCB95">
          <wp:simplePos x="0" y="0"/>
          <wp:positionH relativeFrom="page">
            <wp:posOffset>2626360</wp:posOffset>
          </wp:positionH>
          <wp:positionV relativeFrom="page">
            <wp:posOffset>247904</wp:posOffset>
          </wp:positionV>
          <wp:extent cx="2520000" cy="619200"/>
          <wp:effectExtent l="0" t="0" r="0" b="0"/>
          <wp:wrapTight wrapText="bothSides">
            <wp:wrapPolygon edited="0">
              <wp:start x="0" y="0"/>
              <wp:lineTo x="0" y="20603"/>
              <wp:lineTo x="21393" y="20603"/>
              <wp:lineTo x="21393"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O_DE_MEXICO_logo_horizontal-2X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628F"/>
    <w:multiLevelType w:val="hybridMultilevel"/>
    <w:tmpl w:val="BC626C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B154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8D7BA8"/>
    <w:multiLevelType w:val="hybridMultilevel"/>
    <w:tmpl w:val="B32654BA"/>
    <w:lvl w:ilvl="0" w:tplc="C540E4C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83260EE"/>
    <w:multiLevelType w:val="hybridMultilevel"/>
    <w:tmpl w:val="B0D2094E"/>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18F36A11"/>
    <w:multiLevelType w:val="hybridMultilevel"/>
    <w:tmpl w:val="A88A62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2A053227"/>
    <w:multiLevelType w:val="hybridMultilevel"/>
    <w:tmpl w:val="736A1024"/>
    <w:lvl w:ilvl="0" w:tplc="080A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C8F24DB"/>
    <w:multiLevelType w:val="hybridMultilevel"/>
    <w:tmpl w:val="33CED4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560704"/>
    <w:multiLevelType w:val="hybridMultilevel"/>
    <w:tmpl w:val="C1CADE62"/>
    <w:lvl w:ilvl="0" w:tplc="080A0017">
      <w:start w:val="1"/>
      <w:numFmt w:val="lowerLetter"/>
      <w:lvlText w:val="%1)"/>
      <w:lvlJc w:val="left"/>
      <w:pPr>
        <w:ind w:left="1070"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332B2FF6"/>
    <w:multiLevelType w:val="hybridMultilevel"/>
    <w:tmpl w:val="BC34AB38"/>
    <w:lvl w:ilvl="0" w:tplc="D6CCF1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8F26271"/>
    <w:multiLevelType w:val="hybridMultilevel"/>
    <w:tmpl w:val="7B6428E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42144B3F"/>
    <w:multiLevelType w:val="hybridMultilevel"/>
    <w:tmpl w:val="C3DECEF2"/>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582E14C9"/>
    <w:multiLevelType w:val="hybridMultilevel"/>
    <w:tmpl w:val="4B926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F3669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383A23"/>
    <w:multiLevelType w:val="hybridMultilevel"/>
    <w:tmpl w:val="272C2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247565"/>
    <w:multiLevelType w:val="hybridMultilevel"/>
    <w:tmpl w:val="6F9630B0"/>
    <w:lvl w:ilvl="0" w:tplc="57863786">
      <w:start w:val="1"/>
      <w:numFmt w:val="bullet"/>
      <w:lvlText w:val=""/>
      <w:lvlJc w:val="left"/>
      <w:pPr>
        <w:ind w:left="720" w:hanging="360"/>
      </w:pPr>
      <w:rPr>
        <w:rFonts w:ascii="Symbol" w:hAnsi="Symbol"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5"/>
  </w:num>
  <w:num w:numId="5">
    <w:abstractNumId w:val="2"/>
  </w:num>
  <w:num w:numId="6">
    <w:abstractNumId w:val="12"/>
  </w:num>
  <w:num w:numId="7">
    <w:abstractNumId w:val="7"/>
  </w:num>
  <w:num w:numId="8">
    <w:abstractNumId w:val="14"/>
  </w:num>
  <w:num w:numId="9">
    <w:abstractNumId w:val="15"/>
  </w:num>
  <w:num w:numId="10">
    <w:abstractNumId w:val="4"/>
  </w:num>
  <w:num w:numId="11">
    <w:abstractNumId w:val="8"/>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00"/>
    <w:rsid w:val="0000098B"/>
    <w:rsid w:val="00052403"/>
    <w:rsid w:val="00055747"/>
    <w:rsid w:val="00055C7D"/>
    <w:rsid w:val="00057692"/>
    <w:rsid w:val="000606F2"/>
    <w:rsid w:val="0006179D"/>
    <w:rsid w:val="0006202A"/>
    <w:rsid w:val="000738A2"/>
    <w:rsid w:val="000772B9"/>
    <w:rsid w:val="00092522"/>
    <w:rsid w:val="000A5A9A"/>
    <w:rsid w:val="000B4F43"/>
    <w:rsid w:val="000C4D02"/>
    <w:rsid w:val="000D152F"/>
    <w:rsid w:val="00101440"/>
    <w:rsid w:val="001119AA"/>
    <w:rsid w:val="00112CDE"/>
    <w:rsid w:val="00115656"/>
    <w:rsid w:val="00154C99"/>
    <w:rsid w:val="001726D6"/>
    <w:rsid w:val="00173392"/>
    <w:rsid w:val="0017376D"/>
    <w:rsid w:val="001C0A9E"/>
    <w:rsid w:val="001C184B"/>
    <w:rsid w:val="001D54B2"/>
    <w:rsid w:val="001D6E3B"/>
    <w:rsid w:val="001E059E"/>
    <w:rsid w:val="001E53FA"/>
    <w:rsid w:val="002034B8"/>
    <w:rsid w:val="00204518"/>
    <w:rsid w:val="00205D6E"/>
    <w:rsid w:val="00222547"/>
    <w:rsid w:val="00222816"/>
    <w:rsid w:val="00223DEC"/>
    <w:rsid w:val="0023092B"/>
    <w:rsid w:val="0023400C"/>
    <w:rsid w:val="00236205"/>
    <w:rsid w:val="00240A57"/>
    <w:rsid w:val="00252842"/>
    <w:rsid w:val="00263913"/>
    <w:rsid w:val="00285AC0"/>
    <w:rsid w:val="0029190C"/>
    <w:rsid w:val="002B00A5"/>
    <w:rsid w:val="002B4015"/>
    <w:rsid w:val="002C0011"/>
    <w:rsid w:val="00305701"/>
    <w:rsid w:val="0030671E"/>
    <w:rsid w:val="00311530"/>
    <w:rsid w:val="00324858"/>
    <w:rsid w:val="00335045"/>
    <w:rsid w:val="003357B8"/>
    <w:rsid w:val="003742C8"/>
    <w:rsid w:val="00376C26"/>
    <w:rsid w:val="00386558"/>
    <w:rsid w:val="003B7720"/>
    <w:rsid w:val="003C14F0"/>
    <w:rsid w:val="003C38FD"/>
    <w:rsid w:val="003D11B0"/>
    <w:rsid w:val="003E3527"/>
    <w:rsid w:val="003F0AD7"/>
    <w:rsid w:val="00406CA3"/>
    <w:rsid w:val="00420114"/>
    <w:rsid w:val="0042636C"/>
    <w:rsid w:val="00433190"/>
    <w:rsid w:val="00433FAE"/>
    <w:rsid w:val="00434A08"/>
    <w:rsid w:val="00437373"/>
    <w:rsid w:val="00447061"/>
    <w:rsid w:val="00453B1D"/>
    <w:rsid w:val="00460B5B"/>
    <w:rsid w:val="00461276"/>
    <w:rsid w:val="00466D0B"/>
    <w:rsid w:val="004872FE"/>
    <w:rsid w:val="004A45B4"/>
    <w:rsid w:val="004A60B4"/>
    <w:rsid w:val="004B4DDE"/>
    <w:rsid w:val="004C1734"/>
    <w:rsid w:val="004C3642"/>
    <w:rsid w:val="004D3407"/>
    <w:rsid w:val="004D4B5C"/>
    <w:rsid w:val="004E6BF4"/>
    <w:rsid w:val="0051778A"/>
    <w:rsid w:val="0052037E"/>
    <w:rsid w:val="00523861"/>
    <w:rsid w:val="0053134F"/>
    <w:rsid w:val="00536F3F"/>
    <w:rsid w:val="00540485"/>
    <w:rsid w:val="00545AED"/>
    <w:rsid w:val="00557339"/>
    <w:rsid w:val="00565E4B"/>
    <w:rsid w:val="0057480D"/>
    <w:rsid w:val="00577900"/>
    <w:rsid w:val="00585EBB"/>
    <w:rsid w:val="0059438F"/>
    <w:rsid w:val="005B5DBA"/>
    <w:rsid w:val="005D07AE"/>
    <w:rsid w:val="005F1C0D"/>
    <w:rsid w:val="005F1F33"/>
    <w:rsid w:val="005F4CDE"/>
    <w:rsid w:val="005F5D6F"/>
    <w:rsid w:val="006048A8"/>
    <w:rsid w:val="00605B43"/>
    <w:rsid w:val="006062B5"/>
    <w:rsid w:val="00607823"/>
    <w:rsid w:val="00611A89"/>
    <w:rsid w:val="00626FB6"/>
    <w:rsid w:val="0064792E"/>
    <w:rsid w:val="00671525"/>
    <w:rsid w:val="00685A3E"/>
    <w:rsid w:val="006A0953"/>
    <w:rsid w:val="006A26F2"/>
    <w:rsid w:val="006A52BA"/>
    <w:rsid w:val="006B0476"/>
    <w:rsid w:val="006B2260"/>
    <w:rsid w:val="006B27C6"/>
    <w:rsid w:val="006B491D"/>
    <w:rsid w:val="006B5F51"/>
    <w:rsid w:val="006D7441"/>
    <w:rsid w:val="006E70BC"/>
    <w:rsid w:val="00702075"/>
    <w:rsid w:val="00717034"/>
    <w:rsid w:val="00730D44"/>
    <w:rsid w:val="0073568B"/>
    <w:rsid w:val="007408D8"/>
    <w:rsid w:val="007420AC"/>
    <w:rsid w:val="00753474"/>
    <w:rsid w:val="00756272"/>
    <w:rsid w:val="007637CA"/>
    <w:rsid w:val="00766197"/>
    <w:rsid w:val="0076703D"/>
    <w:rsid w:val="00771E0C"/>
    <w:rsid w:val="00775C27"/>
    <w:rsid w:val="007A2675"/>
    <w:rsid w:val="007A51DC"/>
    <w:rsid w:val="007C0C0F"/>
    <w:rsid w:val="007C0E82"/>
    <w:rsid w:val="007C23BA"/>
    <w:rsid w:val="007C7809"/>
    <w:rsid w:val="007E359C"/>
    <w:rsid w:val="007F6589"/>
    <w:rsid w:val="00800B02"/>
    <w:rsid w:val="008044D9"/>
    <w:rsid w:val="0081303C"/>
    <w:rsid w:val="0081703D"/>
    <w:rsid w:val="00820537"/>
    <w:rsid w:val="008477DF"/>
    <w:rsid w:val="00855978"/>
    <w:rsid w:val="00856C25"/>
    <w:rsid w:val="00862B15"/>
    <w:rsid w:val="0086431D"/>
    <w:rsid w:val="00864971"/>
    <w:rsid w:val="008929B1"/>
    <w:rsid w:val="008941F0"/>
    <w:rsid w:val="0089504C"/>
    <w:rsid w:val="008A5AB2"/>
    <w:rsid w:val="008B40E8"/>
    <w:rsid w:val="008B5A5C"/>
    <w:rsid w:val="008E77F8"/>
    <w:rsid w:val="008F00FF"/>
    <w:rsid w:val="008F2D4B"/>
    <w:rsid w:val="008F7A66"/>
    <w:rsid w:val="009025E6"/>
    <w:rsid w:val="00912F17"/>
    <w:rsid w:val="00923187"/>
    <w:rsid w:val="00937065"/>
    <w:rsid w:val="00937AEB"/>
    <w:rsid w:val="00945FC1"/>
    <w:rsid w:val="00966418"/>
    <w:rsid w:val="009A41F4"/>
    <w:rsid w:val="009A6165"/>
    <w:rsid w:val="009B5477"/>
    <w:rsid w:val="009C4CA1"/>
    <w:rsid w:val="009D2E44"/>
    <w:rsid w:val="009D60F4"/>
    <w:rsid w:val="009D6D1F"/>
    <w:rsid w:val="009E77BA"/>
    <w:rsid w:val="009F43C9"/>
    <w:rsid w:val="009F658A"/>
    <w:rsid w:val="00A038C6"/>
    <w:rsid w:val="00A03EC1"/>
    <w:rsid w:val="00A12183"/>
    <w:rsid w:val="00A26AB4"/>
    <w:rsid w:val="00A361DE"/>
    <w:rsid w:val="00A506B3"/>
    <w:rsid w:val="00A507E1"/>
    <w:rsid w:val="00A6184B"/>
    <w:rsid w:val="00AA21FD"/>
    <w:rsid w:val="00AA2AD3"/>
    <w:rsid w:val="00AA409F"/>
    <w:rsid w:val="00AB3381"/>
    <w:rsid w:val="00AD0B25"/>
    <w:rsid w:val="00AF5943"/>
    <w:rsid w:val="00B03313"/>
    <w:rsid w:val="00B03A0C"/>
    <w:rsid w:val="00B31FB1"/>
    <w:rsid w:val="00B41E48"/>
    <w:rsid w:val="00B4254B"/>
    <w:rsid w:val="00B444EB"/>
    <w:rsid w:val="00B56F08"/>
    <w:rsid w:val="00B61430"/>
    <w:rsid w:val="00B73006"/>
    <w:rsid w:val="00B86459"/>
    <w:rsid w:val="00B91B2D"/>
    <w:rsid w:val="00B96F5F"/>
    <w:rsid w:val="00BA3473"/>
    <w:rsid w:val="00BA437C"/>
    <w:rsid w:val="00BB1845"/>
    <w:rsid w:val="00BC1254"/>
    <w:rsid w:val="00BD184A"/>
    <w:rsid w:val="00BD20EB"/>
    <w:rsid w:val="00BD4569"/>
    <w:rsid w:val="00BE3252"/>
    <w:rsid w:val="00BF1A77"/>
    <w:rsid w:val="00BF3A92"/>
    <w:rsid w:val="00C05B87"/>
    <w:rsid w:val="00C06294"/>
    <w:rsid w:val="00C1773F"/>
    <w:rsid w:val="00C3052F"/>
    <w:rsid w:val="00C4538B"/>
    <w:rsid w:val="00C45FCB"/>
    <w:rsid w:val="00C50029"/>
    <w:rsid w:val="00C5466B"/>
    <w:rsid w:val="00C62E58"/>
    <w:rsid w:val="00C62F4E"/>
    <w:rsid w:val="00C649B8"/>
    <w:rsid w:val="00C66F30"/>
    <w:rsid w:val="00C73A56"/>
    <w:rsid w:val="00C756FB"/>
    <w:rsid w:val="00CC05D0"/>
    <w:rsid w:val="00CC1A1B"/>
    <w:rsid w:val="00CD3AE0"/>
    <w:rsid w:val="00CE7797"/>
    <w:rsid w:val="00CF2D40"/>
    <w:rsid w:val="00D171F0"/>
    <w:rsid w:val="00D20D53"/>
    <w:rsid w:val="00D319F1"/>
    <w:rsid w:val="00D40B57"/>
    <w:rsid w:val="00D6487C"/>
    <w:rsid w:val="00D67FE9"/>
    <w:rsid w:val="00D83952"/>
    <w:rsid w:val="00D9244B"/>
    <w:rsid w:val="00D92EB9"/>
    <w:rsid w:val="00DA6D2B"/>
    <w:rsid w:val="00DB07F6"/>
    <w:rsid w:val="00DC034F"/>
    <w:rsid w:val="00DC668E"/>
    <w:rsid w:val="00DC6805"/>
    <w:rsid w:val="00DD6A33"/>
    <w:rsid w:val="00DD6A45"/>
    <w:rsid w:val="00DF5A66"/>
    <w:rsid w:val="00E049D8"/>
    <w:rsid w:val="00E2011A"/>
    <w:rsid w:val="00E22EC1"/>
    <w:rsid w:val="00E3346C"/>
    <w:rsid w:val="00E408C4"/>
    <w:rsid w:val="00E431D8"/>
    <w:rsid w:val="00E51C33"/>
    <w:rsid w:val="00E55F45"/>
    <w:rsid w:val="00E5670B"/>
    <w:rsid w:val="00E65C31"/>
    <w:rsid w:val="00E94F19"/>
    <w:rsid w:val="00EA2CAE"/>
    <w:rsid w:val="00EA2D09"/>
    <w:rsid w:val="00EB3531"/>
    <w:rsid w:val="00EB57F4"/>
    <w:rsid w:val="00EB79F8"/>
    <w:rsid w:val="00EC0AA6"/>
    <w:rsid w:val="00EC70BE"/>
    <w:rsid w:val="00EF6162"/>
    <w:rsid w:val="00F12D81"/>
    <w:rsid w:val="00F22CD5"/>
    <w:rsid w:val="00F357E9"/>
    <w:rsid w:val="00F41EE5"/>
    <w:rsid w:val="00F46AF5"/>
    <w:rsid w:val="00F52087"/>
    <w:rsid w:val="00F52835"/>
    <w:rsid w:val="00F53E3D"/>
    <w:rsid w:val="00F90947"/>
    <w:rsid w:val="00FA080C"/>
    <w:rsid w:val="00FC4785"/>
    <w:rsid w:val="00FE54F6"/>
    <w:rsid w:val="00FF11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7CA12-1188-4A54-AA43-4F105406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00"/>
    <w:pPr>
      <w:spacing w:after="120" w:line="240" w:lineRule="auto"/>
      <w:ind w:firstLine="907"/>
      <w:jc w:val="both"/>
    </w:pPr>
    <w:rPr>
      <w:rFonts w:eastAsia="Times New Roman" w:cs="Times New Roman"/>
      <w:sz w:val="24"/>
      <w:szCs w:val="24"/>
      <w:lang w:eastAsia="es-MX"/>
    </w:rPr>
  </w:style>
  <w:style w:type="paragraph" w:styleId="Ttulo1">
    <w:name w:val="heading 1"/>
    <w:basedOn w:val="Normal"/>
    <w:next w:val="Normal"/>
    <w:link w:val="Ttulo1Car"/>
    <w:uiPriority w:val="9"/>
    <w:qFormat/>
    <w:rsid w:val="007408D8"/>
    <w:pPr>
      <w:keepNext/>
      <w:pBdr>
        <w:left w:val="single" w:sz="4" w:space="4" w:color="FFFFFF"/>
        <w:bottom w:val="single" w:sz="4" w:space="1" w:color="000080"/>
        <w:right w:val="single" w:sz="4" w:space="4" w:color="FFFFFF"/>
      </w:pBdr>
      <w:spacing w:before="120"/>
      <w:ind w:firstLine="0"/>
      <w:jc w:val="left"/>
      <w:outlineLvl w:val="0"/>
    </w:pPr>
    <w:rPr>
      <w:rFonts w:cs="Arial"/>
      <w:bCs/>
      <w:color w:val="000080"/>
      <w:kern w:val="28"/>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7900"/>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Prrafodelista">
    <w:name w:val="List Paragraph"/>
    <w:basedOn w:val="Normal"/>
    <w:link w:val="PrrafodelistaCar"/>
    <w:uiPriority w:val="34"/>
    <w:qFormat/>
    <w:rsid w:val="005D07AE"/>
    <w:pPr>
      <w:ind w:left="720"/>
      <w:contextualSpacing/>
    </w:pPr>
  </w:style>
  <w:style w:type="character" w:customStyle="1" w:styleId="PrrafodelistaCar">
    <w:name w:val="Párrafo de lista Car"/>
    <w:link w:val="Prrafodelista"/>
    <w:uiPriority w:val="34"/>
    <w:locked/>
    <w:rsid w:val="005D07AE"/>
    <w:rPr>
      <w:rFonts w:eastAsia="Times New Roman" w:cs="Times New Roman"/>
      <w:sz w:val="24"/>
      <w:szCs w:val="24"/>
      <w:lang w:eastAsia="es-MX"/>
    </w:rPr>
  </w:style>
  <w:style w:type="paragraph" w:styleId="Textonotapie">
    <w:name w:val="footnote text"/>
    <w:aliases w:val="Texto nota pie Car2,Texto nota pie Car1 Car,Texto nota pie Car2 Car Car,Texto nota pie Car1 Car Car Car,Texto nota pie Car2 Car Car Car1 Car1,Texto nota pie Car1 Car Car Car Car Car,Texto nota pie Car2 Car Car Car1 Car1 Car Car,fn"/>
    <w:basedOn w:val="Normal"/>
    <w:link w:val="TextonotapieCar"/>
    <w:unhideWhenUsed/>
    <w:qFormat/>
    <w:rsid w:val="003D11B0"/>
    <w:pPr>
      <w:spacing w:after="0"/>
    </w:pPr>
    <w:rPr>
      <w:sz w:val="20"/>
      <w:szCs w:val="20"/>
    </w:rPr>
  </w:style>
  <w:style w:type="character" w:customStyle="1" w:styleId="TextonotapieCar">
    <w:name w:val="Texto nota pie Car"/>
    <w:aliases w:val="Texto nota pie Car2 Car,Texto nota pie Car1 Car Car,Texto nota pie Car2 Car Car Car,Texto nota pie Car1 Car Car Car Car,Texto nota pie Car2 Car Car Car1 Car1 Car,Texto nota pie Car1 Car Car Car Car Car Car,fn Car"/>
    <w:basedOn w:val="Fuentedeprrafopredeter"/>
    <w:link w:val="Textonotapie"/>
    <w:rsid w:val="003D11B0"/>
    <w:rPr>
      <w:rFonts w:eastAsia="Times New Roman" w:cs="Times New Roman"/>
      <w:sz w:val="20"/>
      <w:szCs w:val="20"/>
      <w:lang w:eastAsia="es-MX"/>
    </w:rPr>
  </w:style>
  <w:style w:type="character" w:styleId="Refdenotaalpie">
    <w:name w:val="footnote reference"/>
    <w:aliases w:val="Ref,de nota al pie,Ref1,Ref1 + Arial,10.5 pt,Footnote Reference Superscript,4_G Char Char Char Char,Footnotes refss Char Char Char Char,ftref Char Char Char Char,BVI fnr Char Char Char Char,BVI fnr Car Car Char Char Char Char"/>
    <w:basedOn w:val="Fuentedeprrafopredeter"/>
    <w:link w:val="4GCharCharChar"/>
    <w:uiPriority w:val="99"/>
    <w:unhideWhenUsed/>
    <w:rsid w:val="003D11B0"/>
    <w:rPr>
      <w:vertAlign w:val="superscript"/>
    </w:rPr>
  </w:style>
  <w:style w:type="paragraph" w:customStyle="1" w:styleId="Lista">
    <w:name w:val="Lista ()"/>
    <w:basedOn w:val="Normal"/>
    <w:qFormat/>
    <w:rsid w:val="00820537"/>
    <w:pPr>
      <w:numPr>
        <w:numId w:val="4"/>
      </w:numPr>
    </w:pPr>
    <w:rPr>
      <w:lang w:val="nl-BE"/>
    </w:rPr>
  </w:style>
  <w:style w:type="paragraph" w:styleId="Encabezado">
    <w:name w:val="header"/>
    <w:basedOn w:val="Normal"/>
    <w:link w:val="EncabezadoCar"/>
    <w:uiPriority w:val="99"/>
    <w:unhideWhenUsed/>
    <w:rsid w:val="00335045"/>
    <w:pPr>
      <w:tabs>
        <w:tab w:val="center" w:pos="4419"/>
        <w:tab w:val="right" w:pos="8838"/>
      </w:tabs>
      <w:spacing w:after="0"/>
    </w:pPr>
  </w:style>
  <w:style w:type="character" w:customStyle="1" w:styleId="EncabezadoCar">
    <w:name w:val="Encabezado Car"/>
    <w:basedOn w:val="Fuentedeprrafopredeter"/>
    <w:link w:val="Encabezado"/>
    <w:uiPriority w:val="99"/>
    <w:rsid w:val="00335045"/>
    <w:rPr>
      <w:rFonts w:eastAsia="Times New Roman" w:cs="Times New Roman"/>
      <w:sz w:val="24"/>
      <w:szCs w:val="24"/>
      <w:lang w:eastAsia="es-MX"/>
    </w:rPr>
  </w:style>
  <w:style w:type="paragraph" w:styleId="Piedepgina">
    <w:name w:val="footer"/>
    <w:basedOn w:val="Normal"/>
    <w:link w:val="PiedepginaCar"/>
    <w:uiPriority w:val="99"/>
    <w:unhideWhenUsed/>
    <w:rsid w:val="00335045"/>
    <w:pPr>
      <w:tabs>
        <w:tab w:val="center" w:pos="4419"/>
        <w:tab w:val="right" w:pos="8838"/>
      </w:tabs>
      <w:spacing w:after="0"/>
    </w:pPr>
  </w:style>
  <w:style w:type="character" w:customStyle="1" w:styleId="PiedepginaCar">
    <w:name w:val="Pie de página Car"/>
    <w:basedOn w:val="Fuentedeprrafopredeter"/>
    <w:link w:val="Piedepgina"/>
    <w:uiPriority w:val="99"/>
    <w:rsid w:val="00335045"/>
    <w:rPr>
      <w:rFonts w:eastAsia="Times New Roman" w:cs="Times New Roman"/>
      <w:sz w:val="24"/>
      <w:szCs w:val="24"/>
      <w:lang w:eastAsia="es-MX"/>
    </w:rPr>
  </w:style>
  <w:style w:type="paragraph" w:styleId="NormalWeb">
    <w:name w:val="Normal (Web)"/>
    <w:basedOn w:val="Normal"/>
    <w:uiPriority w:val="99"/>
    <w:semiHidden/>
    <w:unhideWhenUsed/>
    <w:rsid w:val="00335045"/>
    <w:pPr>
      <w:spacing w:before="100" w:beforeAutospacing="1" w:after="100" w:afterAutospacing="1"/>
      <w:ind w:firstLine="0"/>
      <w:jc w:val="left"/>
    </w:pPr>
    <w:rPr>
      <w:rFonts w:ascii="Times New Roman" w:eastAsiaTheme="minorEastAsia" w:hAnsi="Times New Roman"/>
    </w:rPr>
  </w:style>
  <w:style w:type="character" w:styleId="Refdecomentario">
    <w:name w:val="annotation reference"/>
    <w:basedOn w:val="Fuentedeprrafopredeter"/>
    <w:uiPriority w:val="99"/>
    <w:semiHidden/>
    <w:unhideWhenUsed/>
    <w:rsid w:val="00C50029"/>
    <w:rPr>
      <w:sz w:val="16"/>
      <w:szCs w:val="16"/>
    </w:rPr>
  </w:style>
  <w:style w:type="paragraph" w:styleId="Textocomentario">
    <w:name w:val="annotation text"/>
    <w:basedOn w:val="Normal"/>
    <w:link w:val="TextocomentarioCar"/>
    <w:uiPriority w:val="99"/>
    <w:semiHidden/>
    <w:unhideWhenUsed/>
    <w:rsid w:val="00C50029"/>
    <w:pPr>
      <w:spacing w:after="160"/>
      <w:ind w:firstLine="0"/>
      <w:jc w:val="left"/>
    </w:pPr>
    <w:rPr>
      <w:rFonts w:eastAsia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C50029"/>
    <w:rPr>
      <w:sz w:val="20"/>
      <w:szCs w:val="20"/>
    </w:rPr>
  </w:style>
  <w:style w:type="paragraph" w:styleId="Textodeglobo">
    <w:name w:val="Balloon Text"/>
    <w:basedOn w:val="Normal"/>
    <w:link w:val="TextodegloboCar"/>
    <w:uiPriority w:val="99"/>
    <w:semiHidden/>
    <w:unhideWhenUsed/>
    <w:rsid w:val="00C5002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029"/>
    <w:rPr>
      <w:rFonts w:ascii="Segoe UI" w:eastAsia="Times New Roman" w:hAnsi="Segoe UI" w:cs="Segoe UI"/>
      <w:sz w:val="18"/>
      <w:szCs w:val="18"/>
      <w:lang w:eastAsia="es-MX"/>
    </w:rPr>
  </w:style>
  <w:style w:type="table" w:styleId="Tablaconcuadrcula">
    <w:name w:val="Table Grid"/>
    <w:basedOn w:val="Tablanormal"/>
    <w:uiPriority w:val="39"/>
    <w:rsid w:val="0011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605B43"/>
    <w:pPr>
      <w:spacing w:after="160" w:line="240" w:lineRule="exact"/>
      <w:ind w:firstLine="0"/>
    </w:pPr>
    <w:rPr>
      <w:rFonts w:eastAsiaTheme="minorHAnsi" w:cstheme="minorBidi"/>
      <w:sz w:val="22"/>
      <w:szCs w:val="22"/>
      <w:vertAlign w:val="superscript"/>
      <w:lang w:eastAsia="en-US"/>
    </w:rPr>
  </w:style>
  <w:style w:type="paragraph" w:styleId="Asuntodelcomentario">
    <w:name w:val="annotation subject"/>
    <w:basedOn w:val="Textocomentario"/>
    <w:next w:val="Textocomentario"/>
    <w:link w:val="AsuntodelcomentarioCar"/>
    <w:uiPriority w:val="99"/>
    <w:semiHidden/>
    <w:unhideWhenUsed/>
    <w:rsid w:val="00223DEC"/>
    <w:pPr>
      <w:spacing w:after="120"/>
      <w:ind w:firstLine="907"/>
      <w:jc w:val="both"/>
    </w:pPr>
    <w:rPr>
      <w:rFonts w:eastAsia="Times New Roman" w:cs="Times New Roman"/>
      <w:b/>
      <w:bCs/>
      <w:lang w:eastAsia="es-MX"/>
    </w:rPr>
  </w:style>
  <w:style w:type="character" w:customStyle="1" w:styleId="AsuntodelcomentarioCar">
    <w:name w:val="Asunto del comentario Car"/>
    <w:basedOn w:val="TextocomentarioCar"/>
    <w:link w:val="Asuntodelcomentario"/>
    <w:uiPriority w:val="99"/>
    <w:semiHidden/>
    <w:rsid w:val="00223DEC"/>
    <w:rPr>
      <w:rFonts w:eastAsia="Times New Roman" w:cs="Times New Roman"/>
      <w:b/>
      <w:bCs/>
      <w:sz w:val="20"/>
      <w:szCs w:val="20"/>
      <w:lang w:eastAsia="es-MX"/>
    </w:rPr>
  </w:style>
  <w:style w:type="character" w:customStyle="1" w:styleId="Ttulo1Car">
    <w:name w:val="Título 1 Car"/>
    <w:basedOn w:val="Fuentedeprrafopredeter"/>
    <w:link w:val="Ttulo1"/>
    <w:uiPriority w:val="9"/>
    <w:rsid w:val="007408D8"/>
    <w:rPr>
      <w:rFonts w:eastAsia="Times New Roman" w:cs="Arial"/>
      <w:bCs/>
      <w:color w:val="000080"/>
      <w:kern w:val="28"/>
      <w:sz w:val="32"/>
      <w:szCs w:val="32"/>
      <w:lang w:eastAsia="es-MX"/>
    </w:rPr>
  </w:style>
  <w:style w:type="character" w:styleId="Hipervnculo">
    <w:name w:val="Hyperlink"/>
    <w:basedOn w:val="Fuentedeprrafopredeter"/>
    <w:uiPriority w:val="99"/>
    <w:unhideWhenUsed/>
    <w:rsid w:val="00C17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0836">
      <w:bodyDiv w:val="1"/>
      <w:marLeft w:val="0"/>
      <w:marRight w:val="0"/>
      <w:marTop w:val="0"/>
      <w:marBottom w:val="0"/>
      <w:divBdr>
        <w:top w:val="none" w:sz="0" w:space="0" w:color="auto"/>
        <w:left w:val="none" w:sz="0" w:space="0" w:color="auto"/>
        <w:bottom w:val="none" w:sz="0" w:space="0" w:color="auto"/>
        <w:right w:val="none" w:sz="0" w:space="0" w:color="auto"/>
      </w:divBdr>
    </w:div>
    <w:div w:id="547229388">
      <w:bodyDiv w:val="1"/>
      <w:marLeft w:val="0"/>
      <w:marRight w:val="0"/>
      <w:marTop w:val="0"/>
      <w:marBottom w:val="0"/>
      <w:divBdr>
        <w:top w:val="none" w:sz="0" w:space="0" w:color="auto"/>
        <w:left w:val="none" w:sz="0" w:space="0" w:color="auto"/>
        <w:bottom w:val="none" w:sz="0" w:space="0" w:color="auto"/>
        <w:right w:val="none" w:sz="0" w:space="0" w:color="auto"/>
      </w:divBdr>
    </w:div>
    <w:div w:id="921530027">
      <w:bodyDiv w:val="1"/>
      <w:marLeft w:val="0"/>
      <w:marRight w:val="0"/>
      <w:marTop w:val="0"/>
      <w:marBottom w:val="0"/>
      <w:divBdr>
        <w:top w:val="none" w:sz="0" w:space="0" w:color="auto"/>
        <w:left w:val="none" w:sz="0" w:space="0" w:color="auto"/>
        <w:bottom w:val="none" w:sz="0" w:space="0" w:color="auto"/>
        <w:right w:val="none" w:sz="0" w:space="0" w:color="auto"/>
      </w:divBdr>
    </w:div>
    <w:div w:id="1558935208">
      <w:bodyDiv w:val="1"/>
      <w:marLeft w:val="0"/>
      <w:marRight w:val="0"/>
      <w:marTop w:val="0"/>
      <w:marBottom w:val="0"/>
      <w:divBdr>
        <w:top w:val="none" w:sz="0" w:space="0" w:color="auto"/>
        <w:left w:val="none" w:sz="0" w:space="0" w:color="auto"/>
        <w:bottom w:val="none" w:sz="0" w:space="0" w:color="auto"/>
        <w:right w:val="none" w:sz="0" w:space="0" w:color="auto"/>
      </w:divBdr>
    </w:div>
    <w:div w:id="15927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xico.org.mx/ConsultaRegulacionWeb/comments.jsp?id=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6216-12F7-4A9C-AF97-EEF3D6B3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6495</Words>
  <Characters>37027</Characters>
  <Application>Microsoft Office Word</Application>
  <DocSecurity>4</DocSecurity>
  <Lines>308</Lines>
  <Paragraphs>86</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Comentarios acerca de qué tipo de crédito es posible designar como “crédito asoc</vt:lpstr>
      <vt:lpstr>Comentarios acerca de la prelación de los créditos.</vt:lpstr>
      <vt:lpstr>Comentarios relacionados con el tope de endeudamiento propuesto. </vt:lpstr>
      <vt:lpstr>Comentarios sobre el mandato para compartir información. </vt:lpstr>
      <vt:lpstr>Comentarios sobre el mandato de domiciliación.</vt:lpstr>
      <vt:lpstr>Comentarios relacionados con la cancelación del mandato que otorga el cliente.</vt:lpstr>
      <vt:lpstr>Comentarios relacionados con una propuesta de mandato irrevocable y otros coment</vt:lpstr>
      <vt:lpstr>Comentarios relacionados con ajustes a tasas de interés en caso de cancelación d</vt:lpstr>
      <vt:lpstr>Comentarios sobre reclamaciones y controversias. </vt:lpstr>
      <vt:lpstr>Comentarios sobre la portabilidad de nómina. </vt:lpstr>
      <vt:lpstr>Comentarios sobre la transitoriedad de la regla. </vt:lpstr>
      <vt:lpstr>Otros temas operativos relacionados.</vt:lpstr>
    </vt:vector>
  </TitlesOfParts>
  <Company>Banco de México</Company>
  <LinksUpToDate>false</LinksUpToDate>
  <CharactersWithSpaces>43436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Elizondo Flores Jesús Alan</dc:creator>
  <cp:keywords/>
  <dc:description/>
  <cp:lastModifiedBy>Dirección de Regulación y Supervisión</cp:lastModifiedBy>
  <cp:revision>2</cp:revision>
  <cp:lastPrinted>2018-06-20T20:26:00Z</cp:lastPrinted>
  <dcterms:created xsi:type="dcterms:W3CDTF">2018-07-13T19:52:00Z</dcterms:created>
  <dcterms:modified xsi:type="dcterms:W3CDTF">2018-07-13T19:52:00Z</dcterms:modified>
</cp:coreProperties>
</file>